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04E1B" w14:textId="77777777" w:rsidR="00180067" w:rsidRDefault="00180067" w:rsidP="00F87FAF">
      <w:pPr>
        <w:spacing w:after="0" w:line="20" w:lineRule="atLeast"/>
        <w:jc w:val="center"/>
        <w:rPr>
          <w:b/>
        </w:rPr>
      </w:pPr>
    </w:p>
    <w:p w14:paraId="2B61294B" w14:textId="77777777" w:rsidR="00180067" w:rsidRDefault="00180067" w:rsidP="00F87FAF">
      <w:pPr>
        <w:spacing w:after="0" w:line="20" w:lineRule="atLeast"/>
        <w:jc w:val="center"/>
        <w:rPr>
          <w:b/>
        </w:rPr>
      </w:pPr>
    </w:p>
    <w:p w14:paraId="4979E0A9" w14:textId="77777777" w:rsidR="00180067" w:rsidRDefault="00180067" w:rsidP="00F87FAF">
      <w:pPr>
        <w:spacing w:after="0" w:line="20" w:lineRule="atLeast"/>
        <w:jc w:val="center"/>
        <w:rPr>
          <w:b/>
        </w:rPr>
      </w:pPr>
    </w:p>
    <w:p w14:paraId="63AC98FF" w14:textId="77777777" w:rsidR="00180067" w:rsidRDefault="00180067" w:rsidP="00F87FAF">
      <w:pPr>
        <w:spacing w:after="0" w:line="20" w:lineRule="atLeast"/>
        <w:jc w:val="center"/>
        <w:rPr>
          <w:b/>
        </w:rPr>
      </w:pPr>
    </w:p>
    <w:p w14:paraId="6F765429" w14:textId="77777777" w:rsidR="00180067" w:rsidRDefault="00180067" w:rsidP="00180067">
      <w:pPr>
        <w:spacing w:after="0" w:line="20" w:lineRule="atLeast"/>
        <w:jc w:val="center"/>
        <w:rPr>
          <w:b/>
        </w:rPr>
      </w:pPr>
    </w:p>
    <w:p w14:paraId="2987ADD2" w14:textId="77777777" w:rsidR="004526DF" w:rsidRPr="0070725E" w:rsidRDefault="00B15B9D" w:rsidP="00180067">
      <w:pPr>
        <w:spacing w:after="0" w:line="20" w:lineRule="atLeast"/>
        <w:jc w:val="center"/>
        <w:rPr>
          <w:b/>
        </w:rPr>
      </w:pPr>
      <w:r w:rsidRPr="0070725E">
        <w:rPr>
          <w:b/>
        </w:rPr>
        <w:t xml:space="preserve">Summary of Findings </w:t>
      </w:r>
    </w:p>
    <w:p w14:paraId="55240DC1" w14:textId="77777777" w:rsidR="004526DF" w:rsidRPr="0070725E" w:rsidRDefault="004526DF" w:rsidP="00180067">
      <w:pPr>
        <w:spacing w:after="0" w:line="20" w:lineRule="atLeast"/>
        <w:jc w:val="center"/>
        <w:rPr>
          <w:b/>
        </w:rPr>
      </w:pPr>
    </w:p>
    <w:p w14:paraId="6330955B" w14:textId="313C23F9" w:rsidR="004526DF" w:rsidRPr="0070725E" w:rsidRDefault="000F4885" w:rsidP="00180067">
      <w:pPr>
        <w:spacing w:after="0" w:line="20" w:lineRule="atLeast"/>
        <w:jc w:val="center"/>
        <w:rPr>
          <w:b/>
        </w:rPr>
      </w:pPr>
      <w:r w:rsidRPr="0070725E">
        <w:rPr>
          <w:b/>
        </w:rPr>
        <w:t>Stove</w:t>
      </w:r>
      <w:r w:rsidR="009406C2">
        <w:rPr>
          <w:b/>
        </w:rPr>
        <w:t xml:space="preserve"> </w:t>
      </w:r>
      <w:r w:rsidR="002F3F1D">
        <w:rPr>
          <w:b/>
        </w:rPr>
        <w:t>S</w:t>
      </w:r>
      <w:r w:rsidR="009406C2">
        <w:rPr>
          <w:b/>
        </w:rPr>
        <w:t>ubsidies in</w:t>
      </w:r>
      <w:r w:rsidR="00B82486" w:rsidRPr="0070725E">
        <w:rPr>
          <w:b/>
        </w:rPr>
        <w:t xml:space="preserve"> </w:t>
      </w:r>
      <w:r w:rsidRPr="0070725E">
        <w:rPr>
          <w:b/>
        </w:rPr>
        <w:t xml:space="preserve">the </w:t>
      </w:r>
    </w:p>
    <w:p w14:paraId="59DEA1A5" w14:textId="77777777" w:rsidR="004526DF" w:rsidRPr="0070725E" w:rsidRDefault="00CB2A6E" w:rsidP="009406C2">
      <w:pPr>
        <w:spacing w:after="0" w:line="20" w:lineRule="atLeast"/>
        <w:jc w:val="center"/>
        <w:rPr>
          <w:b/>
        </w:rPr>
      </w:pPr>
      <w:r w:rsidRPr="0070725E">
        <w:rPr>
          <w:b/>
        </w:rPr>
        <w:t xml:space="preserve">Millennium Challenge </w:t>
      </w:r>
      <w:r w:rsidR="00642B92" w:rsidRPr="0070725E">
        <w:rPr>
          <w:b/>
        </w:rPr>
        <w:t>Energy Efficien</w:t>
      </w:r>
      <w:r w:rsidR="009406C2">
        <w:rPr>
          <w:b/>
        </w:rPr>
        <w:t>cy</w:t>
      </w:r>
      <w:r w:rsidR="00642B92" w:rsidRPr="0070725E">
        <w:rPr>
          <w:b/>
        </w:rPr>
        <w:t xml:space="preserve"> Innovation Facility</w:t>
      </w:r>
      <w:r w:rsidR="009406C2">
        <w:rPr>
          <w:b/>
        </w:rPr>
        <w:t xml:space="preserve"> of the</w:t>
      </w:r>
    </w:p>
    <w:p w14:paraId="4CEC0BC3" w14:textId="77777777" w:rsidR="009406C2" w:rsidRDefault="00180067" w:rsidP="006F7188">
      <w:pPr>
        <w:spacing w:after="0" w:line="20" w:lineRule="atLeast"/>
        <w:jc w:val="center"/>
        <w:rPr>
          <w:b/>
        </w:rPr>
      </w:pPr>
      <w:r w:rsidRPr="0070725E">
        <w:rPr>
          <w:b/>
        </w:rPr>
        <w:t>Energy and Environment Project</w:t>
      </w:r>
      <w:r w:rsidR="000F4885" w:rsidRPr="0070725E">
        <w:rPr>
          <w:b/>
        </w:rPr>
        <w:t xml:space="preserve"> </w:t>
      </w:r>
      <w:r w:rsidR="009406C2">
        <w:rPr>
          <w:b/>
        </w:rPr>
        <w:t>in</w:t>
      </w:r>
    </w:p>
    <w:p w14:paraId="168C02FF" w14:textId="77777777" w:rsidR="00994F2F" w:rsidRPr="0070725E" w:rsidRDefault="000F4885">
      <w:pPr>
        <w:spacing w:after="0" w:line="20" w:lineRule="atLeast"/>
        <w:jc w:val="center"/>
        <w:rPr>
          <w:b/>
        </w:rPr>
      </w:pPr>
      <w:r w:rsidRPr="0070725E">
        <w:rPr>
          <w:b/>
        </w:rPr>
        <w:t>Mongolia</w:t>
      </w:r>
    </w:p>
    <w:p w14:paraId="145BAB3C" w14:textId="77777777" w:rsidR="00B82486" w:rsidRPr="0070725E" w:rsidRDefault="00B82486" w:rsidP="00F87FAF">
      <w:pPr>
        <w:spacing w:after="0" w:line="20" w:lineRule="atLeast"/>
        <w:jc w:val="center"/>
        <w:rPr>
          <w:b/>
        </w:rPr>
      </w:pPr>
    </w:p>
    <w:p w14:paraId="1BC4D1EC" w14:textId="77777777" w:rsidR="00B82486" w:rsidRPr="0070725E" w:rsidRDefault="00B82486" w:rsidP="00F87FAF">
      <w:pPr>
        <w:spacing w:after="0" w:line="20" w:lineRule="atLeast"/>
        <w:rPr>
          <w:b/>
        </w:rPr>
      </w:pPr>
      <w:r w:rsidRPr="0070725E">
        <w:rPr>
          <w:b/>
        </w:rPr>
        <w:t>In Context</w:t>
      </w:r>
    </w:p>
    <w:p w14:paraId="68B61C41" w14:textId="0EA037E2" w:rsidR="00B114B9" w:rsidRPr="00B114B9" w:rsidRDefault="00B114B9" w:rsidP="002F3F1D">
      <w:pPr>
        <w:spacing w:after="0" w:line="20" w:lineRule="atLeast"/>
        <w:jc w:val="both"/>
        <w:rPr>
          <w:rFonts w:cs="Times New Roman"/>
        </w:rPr>
      </w:pPr>
      <w:r w:rsidRPr="00B114B9">
        <w:rPr>
          <w:rFonts w:cs="Times New Roman"/>
        </w:rPr>
        <w:t>The MCC compact with Mongolia was a five-year investment (200</w:t>
      </w:r>
      <w:r w:rsidR="003A2F68">
        <w:rPr>
          <w:rFonts w:cs="Times New Roman"/>
        </w:rPr>
        <w:t>8</w:t>
      </w:r>
      <w:r w:rsidRPr="00B114B9">
        <w:rPr>
          <w:rFonts w:cs="Times New Roman"/>
        </w:rPr>
        <w:t>-2013) of $2</w:t>
      </w:r>
      <w:r w:rsidR="00BA0FC8">
        <w:rPr>
          <w:rFonts w:cs="Times New Roman"/>
        </w:rPr>
        <w:t>85</w:t>
      </w:r>
      <w:r w:rsidRPr="00B114B9">
        <w:rPr>
          <w:rFonts w:cs="Times New Roman"/>
        </w:rPr>
        <w:t xml:space="preserve"> million in five projects: (i) the Health Project, (i</w:t>
      </w:r>
      <w:r w:rsidR="003A2F68">
        <w:rPr>
          <w:rFonts w:cs="Times New Roman"/>
        </w:rPr>
        <w:t>i</w:t>
      </w:r>
      <w:r w:rsidRPr="00B114B9">
        <w:rPr>
          <w:rFonts w:cs="Times New Roman"/>
        </w:rPr>
        <w:t>) the Property Rights Project, and (</w:t>
      </w:r>
      <w:r w:rsidR="003A2F68">
        <w:rPr>
          <w:rFonts w:cs="Times New Roman"/>
        </w:rPr>
        <w:t>iii</w:t>
      </w:r>
      <w:r w:rsidRPr="00B114B9">
        <w:rPr>
          <w:rFonts w:cs="Times New Roman"/>
        </w:rPr>
        <w:t>) the Vocational Education Project</w:t>
      </w:r>
      <w:r w:rsidR="003A2F68">
        <w:rPr>
          <w:rFonts w:cs="Times New Roman"/>
        </w:rPr>
        <w:t>, (iv)</w:t>
      </w:r>
      <w:r w:rsidR="002F3F1D">
        <w:rPr>
          <w:rFonts w:cs="Times New Roman"/>
        </w:rPr>
        <w:t xml:space="preserve"> </w:t>
      </w:r>
      <w:r w:rsidR="003A2F68" w:rsidRPr="00B114B9">
        <w:rPr>
          <w:rFonts w:cs="Times New Roman"/>
        </w:rPr>
        <w:t>the North-South Road Project,</w:t>
      </w:r>
      <w:r w:rsidR="003A2F68">
        <w:rPr>
          <w:rFonts w:cs="Times New Roman"/>
        </w:rPr>
        <w:t xml:space="preserve"> and (v) </w:t>
      </w:r>
      <w:r w:rsidR="003A2F68" w:rsidRPr="00B114B9">
        <w:rPr>
          <w:rFonts w:cs="Times New Roman"/>
        </w:rPr>
        <w:t>the Ene</w:t>
      </w:r>
      <w:r w:rsidR="003A2F68">
        <w:rPr>
          <w:rFonts w:cs="Times New Roman"/>
        </w:rPr>
        <w:t>rgy and Environment Project</w:t>
      </w:r>
      <w:r w:rsidRPr="00B114B9">
        <w:rPr>
          <w:rFonts w:cs="Times New Roman"/>
        </w:rPr>
        <w:t>.</w:t>
      </w:r>
    </w:p>
    <w:p w14:paraId="2D66DB6E" w14:textId="77777777" w:rsidR="00B114B9" w:rsidRPr="00B114B9" w:rsidRDefault="00B114B9" w:rsidP="002F3F1D">
      <w:pPr>
        <w:spacing w:after="0" w:line="20" w:lineRule="atLeast"/>
        <w:jc w:val="both"/>
        <w:rPr>
          <w:rFonts w:cs="Times New Roman"/>
        </w:rPr>
      </w:pPr>
    </w:p>
    <w:p w14:paraId="5DFCE16D" w14:textId="77777777" w:rsidR="00B114B9" w:rsidRPr="00B114B9" w:rsidRDefault="00B114B9" w:rsidP="002F3F1D">
      <w:pPr>
        <w:spacing w:after="0" w:line="20" w:lineRule="atLeast"/>
        <w:jc w:val="both"/>
        <w:rPr>
          <w:rFonts w:cs="Times New Roman"/>
        </w:rPr>
      </w:pPr>
      <w:r w:rsidRPr="00B114B9">
        <w:rPr>
          <w:rFonts w:cs="Times New Roman"/>
        </w:rPr>
        <w:t xml:space="preserve">On April 27, 2009, </w:t>
      </w:r>
      <w:r w:rsidR="003A2F68">
        <w:rPr>
          <w:rFonts w:cs="Times New Roman"/>
        </w:rPr>
        <w:t xml:space="preserve">less than 1 year after the compact entered into force, </w:t>
      </w:r>
      <w:r w:rsidRPr="00B114B9">
        <w:rPr>
          <w:rFonts w:cs="Times New Roman"/>
        </w:rPr>
        <w:t xml:space="preserve">the Government of Mongolia notified MCC that it intended to withdraw </w:t>
      </w:r>
      <w:r w:rsidR="003A2F68">
        <w:rPr>
          <w:rFonts w:cs="Times New Roman"/>
        </w:rPr>
        <w:t>one of the original projects, a Rail Project,</w:t>
      </w:r>
      <w:r w:rsidRPr="00B114B9">
        <w:rPr>
          <w:rFonts w:cs="Times New Roman"/>
        </w:rPr>
        <w:t xml:space="preserve"> from the Compact. In January 2010, approximately $188 million from the </w:t>
      </w:r>
      <w:r w:rsidR="003A2F68">
        <w:rPr>
          <w:rFonts w:cs="Times New Roman"/>
        </w:rPr>
        <w:t>R</w:t>
      </w:r>
      <w:r w:rsidRPr="00B114B9">
        <w:rPr>
          <w:rFonts w:cs="Times New Roman"/>
        </w:rPr>
        <w:t xml:space="preserve">ail </w:t>
      </w:r>
      <w:r w:rsidR="003A2F68">
        <w:rPr>
          <w:rFonts w:cs="Times New Roman"/>
        </w:rPr>
        <w:t>P</w:t>
      </w:r>
      <w:r w:rsidRPr="00B114B9">
        <w:rPr>
          <w:rFonts w:cs="Times New Roman"/>
        </w:rPr>
        <w:t xml:space="preserve">roject was reallocated for the expansion of the Health, Property Rights, and Vocational Education </w:t>
      </w:r>
      <w:r w:rsidR="003A2F68">
        <w:rPr>
          <w:rFonts w:cs="Times New Roman"/>
        </w:rPr>
        <w:t>P</w:t>
      </w:r>
      <w:r w:rsidRPr="00B114B9">
        <w:rPr>
          <w:rFonts w:cs="Times New Roman"/>
        </w:rPr>
        <w:t xml:space="preserve">rojects, and the addition of the new North-South Road and Energy and Environment </w:t>
      </w:r>
      <w:r w:rsidR="003A2F68">
        <w:rPr>
          <w:rFonts w:cs="Times New Roman"/>
        </w:rPr>
        <w:t>P</w:t>
      </w:r>
      <w:r w:rsidRPr="00B114B9">
        <w:rPr>
          <w:rFonts w:cs="Times New Roman"/>
        </w:rPr>
        <w:t>rojects</w:t>
      </w:r>
      <w:r w:rsidR="003A2F68">
        <w:rPr>
          <w:rFonts w:cs="Times New Roman"/>
        </w:rPr>
        <w:t>, leaving approximately 3.5 years for their implementation</w:t>
      </w:r>
      <w:r w:rsidRPr="00B114B9">
        <w:rPr>
          <w:rFonts w:cs="Times New Roman"/>
        </w:rPr>
        <w:t xml:space="preserve">. </w:t>
      </w:r>
    </w:p>
    <w:p w14:paraId="496103F7" w14:textId="77777777" w:rsidR="00BD6AF8" w:rsidRPr="00136290" w:rsidRDefault="00BD6AF8" w:rsidP="002F3F1D">
      <w:pPr>
        <w:spacing w:after="0" w:line="20" w:lineRule="atLeast"/>
        <w:jc w:val="both"/>
      </w:pPr>
    </w:p>
    <w:p w14:paraId="29E1EDC1" w14:textId="77777777" w:rsidR="00B82486" w:rsidRDefault="007208AB" w:rsidP="002F3F1D">
      <w:pPr>
        <w:spacing w:after="0" w:line="20" w:lineRule="atLeast"/>
        <w:jc w:val="both"/>
      </w:pPr>
      <w:r w:rsidRPr="00136290">
        <w:t xml:space="preserve">The </w:t>
      </w:r>
      <w:r w:rsidR="00BD6AF8" w:rsidRPr="00136290">
        <w:t>Energy and Environment Project</w:t>
      </w:r>
      <w:r w:rsidR="009559D0" w:rsidRPr="00136290">
        <w:t xml:space="preserve"> (EEP</w:t>
      </w:r>
      <w:r w:rsidR="00512A7D">
        <w:t>)</w:t>
      </w:r>
      <w:r w:rsidRPr="00136290">
        <w:t xml:space="preserve"> </w:t>
      </w:r>
      <w:r w:rsidR="00BD6AF8" w:rsidRPr="00136290">
        <w:t>included three major activities:</w:t>
      </w:r>
      <w:r w:rsidR="0070725E">
        <w:t xml:space="preserve"> </w:t>
      </w:r>
      <w:r w:rsidR="00BD6AF8" w:rsidRPr="00136290">
        <w:t>the Millennium Challenge</w:t>
      </w:r>
      <w:r w:rsidR="00642B92" w:rsidRPr="00136290">
        <w:t xml:space="preserve"> Energy Efficient Innovation Facility</w:t>
      </w:r>
      <w:r w:rsidR="00BD6AF8" w:rsidRPr="00136290">
        <w:t xml:space="preserve"> (MCEEIF) </w:t>
      </w:r>
      <w:r w:rsidR="00074A58" w:rsidRPr="00136290">
        <w:t>(</w:t>
      </w:r>
      <w:r w:rsidR="00024FE5" w:rsidRPr="00136290">
        <w:t>$33.8</w:t>
      </w:r>
      <w:r w:rsidR="00BD6AF8" w:rsidRPr="00136290">
        <w:t>M);</w:t>
      </w:r>
      <w:r w:rsidR="00ED3320" w:rsidRPr="00136290">
        <w:t xml:space="preserve"> </w:t>
      </w:r>
      <w:r w:rsidR="001A3935" w:rsidRPr="00136290">
        <w:t>W</w:t>
      </w:r>
      <w:r w:rsidR="00394F8D" w:rsidRPr="00136290">
        <w:t xml:space="preserve">ind </w:t>
      </w:r>
      <w:r w:rsidR="009406C2">
        <w:t>Activity</w:t>
      </w:r>
      <w:r w:rsidR="00394F8D" w:rsidRPr="00136290">
        <w:t xml:space="preserve"> </w:t>
      </w:r>
      <w:r w:rsidR="00C12EE1" w:rsidRPr="00136290">
        <w:t>($3.0</w:t>
      </w:r>
      <w:r w:rsidR="00394F8D" w:rsidRPr="00136290">
        <w:t xml:space="preserve">M); and a </w:t>
      </w:r>
      <w:r w:rsidR="001A3935" w:rsidRPr="00136290">
        <w:t>P</w:t>
      </w:r>
      <w:r w:rsidR="00394F8D" w:rsidRPr="00136290">
        <w:t xml:space="preserve">ublic </w:t>
      </w:r>
      <w:r w:rsidR="001A3935" w:rsidRPr="00136290">
        <w:t>A</w:t>
      </w:r>
      <w:r w:rsidR="00394F8D" w:rsidRPr="00136290">
        <w:t xml:space="preserve">wareness </w:t>
      </w:r>
      <w:r w:rsidR="001A3935" w:rsidRPr="00136290">
        <w:t>C</w:t>
      </w:r>
      <w:r w:rsidR="00394F8D" w:rsidRPr="00136290">
        <w:t xml:space="preserve">ampaign </w:t>
      </w:r>
      <w:r w:rsidR="00C12EE1" w:rsidRPr="00136290">
        <w:t>($2.0</w:t>
      </w:r>
      <w:r w:rsidR="00394F8D" w:rsidRPr="00136290">
        <w:t>M).</w:t>
      </w:r>
      <w:r w:rsidR="003843C7">
        <w:t xml:space="preserve"> The </w:t>
      </w:r>
      <w:r w:rsidR="003843C7" w:rsidRPr="009559D0">
        <w:t xml:space="preserve">$33.8M </w:t>
      </w:r>
      <w:r w:rsidR="003843C7">
        <w:t xml:space="preserve">MCEEIF </w:t>
      </w:r>
      <w:r w:rsidR="003843C7" w:rsidRPr="00207ECF">
        <w:t xml:space="preserve">Activity </w:t>
      </w:r>
      <w:r w:rsidR="003843C7">
        <w:t xml:space="preserve">accounted for </w:t>
      </w:r>
      <w:r w:rsidR="003843C7" w:rsidRPr="00207ECF">
        <w:t>1</w:t>
      </w:r>
      <w:r w:rsidR="003843C7">
        <w:t xml:space="preserve">3% of the total Compact investment, and 84% of total EEP disbursements. The </w:t>
      </w:r>
      <w:r w:rsidR="00962C45">
        <w:t xml:space="preserve">focus of this Summary of Findings </w:t>
      </w:r>
      <w:r w:rsidR="00BA0FC8">
        <w:t>is</w:t>
      </w:r>
      <w:r w:rsidR="00F94DE6">
        <w:t xml:space="preserve"> </w:t>
      </w:r>
      <w:r w:rsidR="006D30A6">
        <w:t xml:space="preserve">the </w:t>
      </w:r>
      <w:r w:rsidR="00F94DE6">
        <w:t xml:space="preserve">stove subsidy </w:t>
      </w:r>
      <w:r w:rsidR="00962C45">
        <w:t>component of the MCEEIF Activity. Results</w:t>
      </w:r>
      <w:r w:rsidR="001970BF">
        <w:t xml:space="preserve"> are based on </w:t>
      </w:r>
      <w:r w:rsidR="00196754">
        <w:t xml:space="preserve">the findings of </w:t>
      </w:r>
      <w:r w:rsidR="001970BF">
        <w:t xml:space="preserve">an independent impact evaluation </w:t>
      </w:r>
      <w:r>
        <w:t xml:space="preserve">contract </w:t>
      </w:r>
      <w:r w:rsidR="004A78D0">
        <w:t xml:space="preserve">signed </w:t>
      </w:r>
      <w:r w:rsidR="001970BF">
        <w:t>between the MCC Department of Policy and Evaluation’s Monitoring and Evaluation Division and Social Impact</w:t>
      </w:r>
      <w:r w:rsidR="004A78D0">
        <w:t xml:space="preserve">; a consulting firm specialized in </w:t>
      </w:r>
      <w:r w:rsidR="00196754">
        <w:t xml:space="preserve">conducting </w:t>
      </w:r>
      <w:r w:rsidR="004A78D0">
        <w:t xml:space="preserve">performance and impact evaluation of </w:t>
      </w:r>
      <w:r w:rsidR="004A78D0" w:rsidRPr="004A78D0">
        <w:t>development programs</w:t>
      </w:r>
      <w:r w:rsidR="001970BF">
        <w:t>. The results of the impact evaluation are available in the final evaluation report title</w:t>
      </w:r>
      <w:r w:rsidR="0086659C">
        <w:t>d</w:t>
      </w:r>
      <w:r w:rsidR="001970BF">
        <w:t xml:space="preserve"> </w:t>
      </w:r>
      <w:r w:rsidR="001970BF" w:rsidRPr="00F6110E">
        <w:t>“</w:t>
      </w:r>
      <w:r w:rsidR="00F6110E" w:rsidRPr="00F6110E">
        <w:t xml:space="preserve">Impact Evaluation Results of the </w:t>
      </w:r>
      <w:r w:rsidR="001970BF" w:rsidRPr="00F6110E">
        <w:t>MC</w:t>
      </w:r>
      <w:r w:rsidR="00F6110E" w:rsidRPr="00F6110E">
        <w:t>A</w:t>
      </w:r>
      <w:r w:rsidR="001970BF" w:rsidRPr="00F6110E">
        <w:t xml:space="preserve"> Mongolia</w:t>
      </w:r>
      <w:r w:rsidR="00F6110E" w:rsidRPr="00F6110E">
        <w:t xml:space="preserve"> Energy and Environment Project Energy-Efficient Stove Subsidy Program”, dated August 20, 2014</w:t>
      </w:r>
      <w:r w:rsidR="00196754">
        <w:t>.</w:t>
      </w:r>
    </w:p>
    <w:p w14:paraId="5B6AC27A" w14:textId="77777777" w:rsidR="00962C45" w:rsidRDefault="00962C45" w:rsidP="002F3F1D">
      <w:pPr>
        <w:spacing w:after="0" w:line="20" w:lineRule="atLeast"/>
        <w:jc w:val="both"/>
      </w:pPr>
    </w:p>
    <w:p w14:paraId="29B3B975" w14:textId="77777777" w:rsidR="00196754" w:rsidRDefault="00196754" w:rsidP="002F3F1D">
      <w:pPr>
        <w:spacing w:line="20" w:lineRule="atLeast"/>
        <w:contextualSpacing/>
        <w:jc w:val="both"/>
      </w:pPr>
    </w:p>
    <w:p w14:paraId="6EDE8FFF" w14:textId="77777777" w:rsidR="00196754" w:rsidRDefault="00196754" w:rsidP="00F87FAF">
      <w:pPr>
        <w:spacing w:line="20" w:lineRule="atLeast"/>
        <w:contextualSpacing/>
      </w:pPr>
    </w:p>
    <w:p w14:paraId="6B472950" w14:textId="2AD1E553" w:rsidR="003C0B7F" w:rsidRDefault="00A0215B" w:rsidP="003C0B7F">
      <w:pPr>
        <w:spacing w:after="0" w:line="20" w:lineRule="atLeast"/>
        <w:ind w:left="-720" w:right="-720"/>
        <w:jc w:val="center"/>
      </w:pPr>
      <w:r>
        <w:rPr>
          <w:noProof/>
        </w:rPr>
        <w:lastRenderedPageBreak/>
        <w:drawing>
          <wp:inline distT="0" distB="0" distL="0" distR="0" wp14:anchorId="5157699B" wp14:editId="3736DDFD">
            <wp:extent cx="6381750" cy="3438525"/>
            <wp:effectExtent l="0" t="0" r="0"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408CFAF" w14:textId="1924E376" w:rsidR="00B86230" w:rsidRPr="007C6B53" w:rsidRDefault="007C6B53" w:rsidP="00F87FAF">
      <w:pPr>
        <w:spacing w:after="0" w:line="20" w:lineRule="atLeast"/>
        <w:rPr>
          <w:sz w:val="18"/>
          <w:szCs w:val="18"/>
        </w:rPr>
      </w:pPr>
      <w:r w:rsidRPr="007C6B53">
        <w:rPr>
          <w:sz w:val="18"/>
          <w:szCs w:val="18"/>
        </w:rPr>
        <w:t>*Rail project was cancelled following compact restructuring</w:t>
      </w:r>
    </w:p>
    <w:p w14:paraId="01143C87" w14:textId="77777777" w:rsidR="00B86230" w:rsidRDefault="00B86230" w:rsidP="00F87FAF">
      <w:pPr>
        <w:spacing w:after="0" w:line="20" w:lineRule="atLeast"/>
        <w:rPr>
          <w:b/>
        </w:rPr>
      </w:pPr>
    </w:p>
    <w:p w14:paraId="0062B341" w14:textId="77777777" w:rsidR="00B82486" w:rsidRDefault="00B82486" w:rsidP="00F87FAF">
      <w:pPr>
        <w:spacing w:after="0" w:line="20" w:lineRule="atLeast"/>
        <w:rPr>
          <w:b/>
        </w:rPr>
      </w:pPr>
      <w:r>
        <w:rPr>
          <w:b/>
        </w:rPr>
        <w:t>Program Logic</w:t>
      </w:r>
    </w:p>
    <w:p w14:paraId="65837E88" w14:textId="77777777" w:rsidR="00AE34BB" w:rsidRDefault="00AF49A8" w:rsidP="002F3F1D">
      <w:pPr>
        <w:spacing w:after="0" w:line="20" w:lineRule="atLeast"/>
        <w:jc w:val="both"/>
      </w:pPr>
      <w:r>
        <w:t>Ulaanbaatar, Mongolia</w:t>
      </w:r>
      <w:r w:rsidR="00A05062" w:rsidRPr="00A05062">
        <w:t xml:space="preserve"> has been </w:t>
      </w:r>
      <w:r w:rsidR="007762A5">
        <w:t xml:space="preserve">referred to as </w:t>
      </w:r>
      <w:r w:rsidR="00A05062" w:rsidRPr="00A05062">
        <w:t xml:space="preserve">both the coldest capital city and the second most polluted city in the world. Air quality is worst in the winter, when </w:t>
      </w:r>
      <w:r w:rsidR="00CF3D65">
        <w:t>average</w:t>
      </w:r>
      <w:r w:rsidR="00A05062" w:rsidRPr="00A05062">
        <w:t xml:space="preserve"> </w:t>
      </w:r>
      <w:r w:rsidR="00CF3D65">
        <w:t xml:space="preserve">temperatures range from </w:t>
      </w:r>
      <w:r w:rsidR="00331A73">
        <w:t>-</w:t>
      </w:r>
      <w:r w:rsidR="00CF3D65">
        <w:t>4</w:t>
      </w:r>
      <w:r w:rsidR="00CF3D65" w:rsidRPr="00F25B63">
        <w:rPr>
          <w:vertAlign w:val="superscript"/>
        </w:rPr>
        <w:t>0</w:t>
      </w:r>
      <w:r w:rsidR="00331A73">
        <w:t>F (-20</w:t>
      </w:r>
      <w:r w:rsidR="00331A73" w:rsidRPr="00F25B63">
        <w:rPr>
          <w:vertAlign w:val="superscript"/>
        </w:rPr>
        <w:t>0</w:t>
      </w:r>
      <w:r w:rsidR="00331A73">
        <w:t xml:space="preserve">C) </w:t>
      </w:r>
      <w:r w:rsidR="00CF3D65">
        <w:t>during the day to -</w:t>
      </w:r>
      <w:r w:rsidR="00A05062" w:rsidRPr="00F25B63">
        <w:t>40</w:t>
      </w:r>
      <w:r w:rsidR="00A05062" w:rsidRPr="00F25B63">
        <w:rPr>
          <w:vertAlign w:val="superscript"/>
        </w:rPr>
        <w:t>0</w:t>
      </w:r>
      <w:r w:rsidR="00920C06">
        <w:t>F (-40</w:t>
      </w:r>
      <w:r w:rsidR="00CF3D65" w:rsidRPr="00F25B63">
        <w:rPr>
          <w:vertAlign w:val="superscript"/>
        </w:rPr>
        <w:t>0</w:t>
      </w:r>
      <w:r w:rsidR="00920C06">
        <w:t>C)</w:t>
      </w:r>
      <w:r w:rsidR="00A05062" w:rsidRPr="00F25B63">
        <w:t xml:space="preserve"> </w:t>
      </w:r>
      <w:r w:rsidR="008C3A65">
        <w:t>at night. A</w:t>
      </w:r>
      <w:r w:rsidR="00A05062" w:rsidRPr="00A05062">
        <w:t>verage daily concentrations of fine partic</w:t>
      </w:r>
      <w:r w:rsidR="00A05062">
        <w:t>ulate matter (PM</w:t>
      </w:r>
      <w:r w:rsidR="00A05062">
        <w:rPr>
          <w:vertAlign w:val="subscript"/>
        </w:rPr>
        <w:t>2.5</w:t>
      </w:r>
      <w:r w:rsidR="00A05062" w:rsidRPr="00A05062">
        <w:t>)</w:t>
      </w:r>
      <w:r w:rsidR="00331A73">
        <w:rPr>
          <w:rStyle w:val="FootnoteReference"/>
        </w:rPr>
        <w:footnoteReference w:id="1"/>
      </w:r>
      <w:r w:rsidR="00A05062" w:rsidRPr="00A05062">
        <w:t xml:space="preserve"> can be 15 times higher than the </w:t>
      </w:r>
      <w:r w:rsidR="00D6183E">
        <w:t>World Health Organization’s</w:t>
      </w:r>
      <w:r w:rsidR="00A05062" w:rsidRPr="00A05062">
        <w:t xml:space="preserve"> guidelines established to minimize morbidi</w:t>
      </w:r>
      <w:r w:rsidR="00A05062">
        <w:t>ty and mortality risk</w:t>
      </w:r>
      <w:r w:rsidR="00A05062" w:rsidRPr="00A05062">
        <w:t>. During the winter months (October-March), residents of Ulaanbaatar’s peri-urb</w:t>
      </w:r>
      <w:r w:rsidR="00CF3D65">
        <w:t xml:space="preserve">an </w:t>
      </w:r>
      <w:r w:rsidR="002F7FFE">
        <w:t>“g</w:t>
      </w:r>
      <w:r w:rsidR="00A05062" w:rsidRPr="00D6183E">
        <w:t>er</w:t>
      </w:r>
      <w:r w:rsidR="002F7FFE">
        <w:t xml:space="preserve"> d</w:t>
      </w:r>
      <w:r w:rsidR="00A05062">
        <w:t>istrict</w:t>
      </w:r>
      <w:r w:rsidR="002F7FFE">
        <w:t>”</w:t>
      </w:r>
      <w:r w:rsidR="00D6183E">
        <w:rPr>
          <w:rStyle w:val="FootnoteReference"/>
        </w:rPr>
        <w:footnoteReference w:id="2"/>
      </w:r>
      <w:r w:rsidR="00A05062" w:rsidRPr="00A05062">
        <w:t xml:space="preserve"> typically use coal-burning stoves to heat their </w:t>
      </w:r>
      <w:r w:rsidR="00BF682B">
        <w:t>traditional</w:t>
      </w:r>
      <w:r w:rsidR="00DA0409">
        <w:t xml:space="preserve"> </w:t>
      </w:r>
      <w:r w:rsidR="00A05062" w:rsidRPr="00A05062">
        <w:t xml:space="preserve">homes </w:t>
      </w:r>
      <w:r w:rsidR="00BF682B">
        <w:t xml:space="preserve">(gers) and houses </w:t>
      </w:r>
      <w:r w:rsidR="00A05062" w:rsidRPr="00A05062">
        <w:t>on a ne</w:t>
      </w:r>
      <w:r w:rsidR="00A05062">
        <w:t>arly continuous basis</w:t>
      </w:r>
      <w:r w:rsidR="00A05062" w:rsidRPr="00A05062">
        <w:t xml:space="preserve">. The heavy use of coal in residential stoves is a major source of </w:t>
      </w:r>
      <w:r w:rsidR="00761C28">
        <w:t xml:space="preserve">air </w:t>
      </w:r>
      <w:r w:rsidR="00A05062" w:rsidRPr="00A05062">
        <w:t>pollution</w:t>
      </w:r>
      <w:r w:rsidR="00761C28">
        <w:t xml:space="preserve"> that is</w:t>
      </w:r>
      <w:r w:rsidR="00A05062" w:rsidRPr="00A05062">
        <w:t xml:space="preserve"> estimated </w:t>
      </w:r>
      <w:r w:rsidR="00A05062">
        <w:t>to contribute up to 70% of PM</w:t>
      </w:r>
      <w:r w:rsidR="00A05062">
        <w:rPr>
          <w:vertAlign w:val="subscript"/>
        </w:rPr>
        <w:t>2.5</w:t>
      </w:r>
      <w:r w:rsidR="00A05062">
        <w:t xml:space="preserve"> in the </w:t>
      </w:r>
      <w:r w:rsidR="002F7FFE">
        <w:t>g</w:t>
      </w:r>
      <w:r w:rsidR="00A05062">
        <w:t xml:space="preserve">er </w:t>
      </w:r>
      <w:r w:rsidR="002F7FFE">
        <w:t>d</w:t>
      </w:r>
      <w:r w:rsidR="00A05062">
        <w:t>istrict</w:t>
      </w:r>
      <w:r w:rsidR="007C480B">
        <w:t xml:space="preserve"> (World Bank, 2009)</w:t>
      </w:r>
      <w:r w:rsidR="00A05062" w:rsidRPr="00A05062">
        <w:t>. Visibly poor air quality co</w:t>
      </w:r>
      <w:r>
        <w:t>ncern</w:t>
      </w:r>
      <w:r w:rsidR="002F7FFE">
        <w:t>s</w:t>
      </w:r>
      <w:r w:rsidR="00761C28">
        <w:t xml:space="preserve"> Ulaanbaatar</w:t>
      </w:r>
      <w:r>
        <w:t xml:space="preserve"> residents</w:t>
      </w:r>
      <w:r w:rsidR="00A05062" w:rsidRPr="00A05062">
        <w:t xml:space="preserve">, the Mongolian Government, and global air quality experts. </w:t>
      </w:r>
      <w:r w:rsidR="002F7FFE">
        <w:t>T</w:t>
      </w:r>
      <w:r w:rsidR="00AD4391">
        <w:t>he poor, under</w:t>
      </w:r>
      <w:r w:rsidR="00761C28">
        <w:t>-</w:t>
      </w:r>
      <w:r w:rsidR="00AD4391">
        <w:t xml:space="preserve">nourished, very young, very old, and </w:t>
      </w:r>
      <w:r w:rsidR="002F7FFE">
        <w:t>individuals</w:t>
      </w:r>
      <w:r w:rsidR="00AD4391">
        <w:t xml:space="preserve"> with pre</w:t>
      </w:r>
      <w:r w:rsidR="002F7FFE">
        <w:t>-</w:t>
      </w:r>
      <w:r w:rsidR="00AD4391">
        <w:t>existing respiratory disease and other ill health</w:t>
      </w:r>
      <w:r w:rsidR="002F7FFE">
        <w:t xml:space="preserve"> </w:t>
      </w:r>
      <w:r w:rsidR="00761C28">
        <w:t xml:space="preserve">related aliments </w:t>
      </w:r>
      <w:r w:rsidR="002F7FFE">
        <w:t>are especially at risk</w:t>
      </w:r>
      <w:r w:rsidR="00AD4391">
        <w:t>.</w:t>
      </w:r>
      <w:r w:rsidR="001C3ACE">
        <w:t xml:space="preserve"> </w:t>
      </w:r>
      <w:r w:rsidR="00761C28">
        <w:t>It is also noted that t</w:t>
      </w:r>
      <w:r w:rsidR="00A05062" w:rsidRPr="00A05062">
        <w:t xml:space="preserve">he economic burden of stove fueling is </w:t>
      </w:r>
      <w:r w:rsidR="00761C28">
        <w:t>a significant barrier</w:t>
      </w:r>
      <w:r w:rsidR="00A05062" w:rsidRPr="00A05062">
        <w:t xml:space="preserve"> to poverty reduction as annual fueling expenses can amount to </w:t>
      </w:r>
      <w:r w:rsidR="00A05062" w:rsidRPr="00CF2F89">
        <w:t>40% of</w:t>
      </w:r>
      <w:r w:rsidR="002F7FFE">
        <w:t xml:space="preserve"> </w:t>
      </w:r>
      <w:r w:rsidR="00761C28">
        <w:t xml:space="preserve">the average </w:t>
      </w:r>
      <w:r w:rsidR="002F7FFE">
        <w:t>household</w:t>
      </w:r>
      <w:r w:rsidR="00A05062" w:rsidRPr="00CF2F89">
        <w:t xml:space="preserve"> income </w:t>
      </w:r>
      <w:r w:rsidR="002F7FFE">
        <w:t>of</w:t>
      </w:r>
      <w:r w:rsidR="00A05062" w:rsidRPr="00A05062">
        <w:t xml:space="preserve"> the poorest </w:t>
      </w:r>
      <w:r w:rsidR="002F7FFE">
        <w:t>income</w:t>
      </w:r>
      <w:r w:rsidR="00A05062">
        <w:t xml:space="preserve"> quintile</w:t>
      </w:r>
      <w:r w:rsidR="002F7FFE">
        <w:t xml:space="preserve">; an </w:t>
      </w:r>
      <w:r w:rsidR="00E45418">
        <w:t>average</w:t>
      </w:r>
      <w:r w:rsidR="00CF2F89">
        <w:t xml:space="preserve"> household </w:t>
      </w:r>
      <w:r w:rsidR="002F7FFE">
        <w:t>consumes</w:t>
      </w:r>
      <w:r w:rsidR="00CF2F89">
        <w:t xml:space="preserve"> approximately 4.2 tons of raw coal and 4.7 cubic meters of wood during a </w:t>
      </w:r>
      <w:r w:rsidR="002F7FFE">
        <w:t xml:space="preserve">single </w:t>
      </w:r>
      <w:r w:rsidR="00CF2F89">
        <w:t>heating season</w:t>
      </w:r>
      <w:r w:rsidR="00A05062" w:rsidRPr="00A05062">
        <w:t>.</w:t>
      </w:r>
    </w:p>
    <w:p w14:paraId="009A1C69" w14:textId="77777777" w:rsidR="00CF2F89" w:rsidRDefault="00CF2F89" w:rsidP="002F3F1D">
      <w:pPr>
        <w:spacing w:after="0" w:line="20" w:lineRule="atLeast"/>
        <w:jc w:val="both"/>
      </w:pPr>
    </w:p>
    <w:p w14:paraId="33408C90" w14:textId="77777777" w:rsidR="00B86230" w:rsidRDefault="00E77E75" w:rsidP="002F3F1D">
      <w:pPr>
        <w:spacing w:after="0" w:line="20" w:lineRule="atLeast"/>
        <w:jc w:val="both"/>
      </w:pPr>
      <w:r>
        <w:t xml:space="preserve">In partnership with MCC, </w:t>
      </w:r>
      <w:r w:rsidR="00C1640F">
        <w:t>MCA-Mongolia</w:t>
      </w:r>
      <w:r>
        <w:t xml:space="preserve"> </w:t>
      </w:r>
      <w:r w:rsidR="00A05062" w:rsidRPr="00A05062">
        <w:t xml:space="preserve">introduced the </w:t>
      </w:r>
      <w:r w:rsidR="00C1640F">
        <w:t>stove subsidy</w:t>
      </w:r>
      <w:r w:rsidR="00A05062" w:rsidRPr="00A05062">
        <w:t xml:space="preserve"> in 2011 to </w:t>
      </w:r>
      <w:r>
        <w:t xml:space="preserve">help </w:t>
      </w:r>
      <w:r w:rsidR="00A05062" w:rsidRPr="00A05062">
        <w:t>reduce air pollution through</w:t>
      </w:r>
      <w:r w:rsidR="006D30A6">
        <w:t xml:space="preserve"> </w:t>
      </w:r>
      <w:r w:rsidR="00A05062" w:rsidRPr="00A05062">
        <w:t xml:space="preserve">financial support for </w:t>
      </w:r>
      <w:r w:rsidR="00761C28">
        <w:t xml:space="preserve">the </w:t>
      </w:r>
      <w:r>
        <w:t xml:space="preserve">promotion </w:t>
      </w:r>
      <w:r w:rsidR="00761C28">
        <w:t>and</w:t>
      </w:r>
      <w:r>
        <w:t xml:space="preserve"> use of </w:t>
      </w:r>
      <w:r w:rsidR="00761C28">
        <w:t xml:space="preserve">more </w:t>
      </w:r>
      <w:r w:rsidR="008C3A65">
        <w:t xml:space="preserve">energy efficient stoves. </w:t>
      </w:r>
      <w:r w:rsidR="00A05062" w:rsidRPr="009B351D">
        <w:t>Th</w:t>
      </w:r>
      <w:r w:rsidR="009B351D" w:rsidRPr="009B351D">
        <w:t>e</w:t>
      </w:r>
      <w:r w:rsidR="009406C2">
        <w:t xml:space="preserve"> subsidy was intended to incentivize purchases of efficient stoves demonstrated</w:t>
      </w:r>
      <w:r w:rsidR="00A05062" w:rsidRPr="00A05062">
        <w:t xml:space="preserve"> to reduce stove </w:t>
      </w:r>
      <w:r w:rsidR="00761C28">
        <w:t xml:space="preserve">particulate matter </w:t>
      </w:r>
      <w:r w:rsidR="00A05062" w:rsidRPr="00A05062">
        <w:t>emissions</w:t>
      </w:r>
      <w:r w:rsidR="009406C2">
        <w:t>, thus improving health outcomes</w:t>
      </w:r>
      <w:r w:rsidR="00A05062">
        <w:t>.</w:t>
      </w:r>
      <w:r w:rsidR="00A05062" w:rsidRPr="00A05062">
        <w:t xml:space="preserve"> In addition,</w:t>
      </w:r>
      <w:r w:rsidR="009B351D">
        <w:t xml:space="preserve"> it was proposed that </w:t>
      </w:r>
      <w:r w:rsidR="00A05062" w:rsidRPr="00A05062">
        <w:lastRenderedPageBreak/>
        <w:t>increased stove efficiency w</w:t>
      </w:r>
      <w:r w:rsidR="009B351D">
        <w:t>ould</w:t>
      </w:r>
      <w:r w:rsidR="00A05062" w:rsidRPr="00A05062">
        <w:t xml:space="preserve"> reduce fuel use and</w:t>
      </w:r>
      <w:r w:rsidR="009B351D">
        <w:t xml:space="preserve"> consequently fu</w:t>
      </w:r>
      <w:r w:rsidR="00A05062">
        <w:t xml:space="preserve">el expenditures. </w:t>
      </w:r>
      <w:r w:rsidR="009B351D">
        <w:t>Collectively, t</w:t>
      </w:r>
      <w:r w:rsidR="00A05062" w:rsidRPr="00A05062">
        <w:t>hese effects were expected to contribute to economi</w:t>
      </w:r>
      <w:r w:rsidR="00A05062">
        <w:t>c growth and poverty reduction.</w:t>
      </w:r>
      <w:r w:rsidR="009B351D">
        <w:t xml:space="preserve"> </w:t>
      </w:r>
    </w:p>
    <w:p w14:paraId="4E5D2E6E" w14:textId="77777777" w:rsidR="00136FA4" w:rsidRDefault="00136FA4" w:rsidP="002F3F1D">
      <w:pPr>
        <w:spacing w:after="0" w:line="20" w:lineRule="atLeast"/>
        <w:jc w:val="both"/>
      </w:pPr>
    </w:p>
    <w:p w14:paraId="67CB0731" w14:textId="77777777" w:rsidR="00136FA4" w:rsidRDefault="00C1640F" w:rsidP="002F3F1D">
      <w:pPr>
        <w:spacing w:after="0" w:line="20" w:lineRule="atLeast"/>
        <w:jc w:val="both"/>
      </w:pPr>
      <w:r>
        <w:t xml:space="preserve">While the Millennium Challenge Energy Efficiency Innovation Facility also included funding for heat only boiler </w:t>
      </w:r>
      <w:r w:rsidR="0093240A">
        <w:t xml:space="preserve">(HOB) </w:t>
      </w:r>
      <w:r>
        <w:t xml:space="preserve">replacement, subsidies for insulation, subsidies for energy efficient homes, and </w:t>
      </w:r>
      <w:r w:rsidR="00BD530F">
        <w:t>s</w:t>
      </w:r>
      <w:r w:rsidR="00136FA4" w:rsidRPr="002C63A5">
        <w:t>mall grants for greening</w:t>
      </w:r>
      <w:r w:rsidR="00BD530F">
        <w:t xml:space="preserve">, </w:t>
      </w:r>
      <w:r w:rsidR="00136FA4" w:rsidRPr="002C63A5">
        <w:t xml:space="preserve">air quality research, and </w:t>
      </w:r>
      <w:r>
        <w:t xml:space="preserve">the Energy and Environment Project also included a </w:t>
      </w:r>
      <w:r w:rsidR="00136FA4" w:rsidRPr="002C63A5">
        <w:t xml:space="preserve">Wind Activity </w:t>
      </w:r>
      <w:r>
        <w:t xml:space="preserve">and Public Awareness Activity, these </w:t>
      </w:r>
      <w:r w:rsidR="00BD530F">
        <w:t xml:space="preserve">were not analyzed </w:t>
      </w:r>
      <w:r>
        <w:t xml:space="preserve">as part of </w:t>
      </w:r>
      <w:r w:rsidR="00BD530F">
        <w:t xml:space="preserve"> this evaluation.</w:t>
      </w:r>
    </w:p>
    <w:p w14:paraId="72DFC10F" w14:textId="77777777" w:rsidR="00136FA4" w:rsidRDefault="00136FA4" w:rsidP="002F3F1D">
      <w:pPr>
        <w:spacing w:after="0" w:line="20" w:lineRule="atLeast"/>
        <w:jc w:val="both"/>
      </w:pPr>
    </w:p>
    <w:p w14:paraId="0CFE49A0" w14:textId="77777777" w:rsidR="00AE5A64" w:rsidRDefault="00AE5A64" w:rsidP="00AE5A64">
      <w:pPr>
        <w:spacing w:after="0" w:line="20" w:lineRule="atLeast"/>
        <w:jc w:val="center"/>
      </w:pPr>
      <w:r w:rsidRPr="007052FC">
        <w:rPr>
          <w:rFonts w:ascii="Calibri" w:hAnsi="Calibri" w:cs="Calibri"/>
          <w:noProof/>
          <w:sz w:val="24"/>
          <w:szCs w:val="24"/>
        </w:rPr>
        <w:drawing>
          <wp:inline distT="0" distB="0" distL="0" distR="0" wp14:anchorId="714E371D" wp14:editId="04479FB0">
            <wp:extent cx="5486400" cy="3200400"/>
            <wp:effectExtent l="0" t="0" r="19050"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125B2544" w14:textId="77777777" w:rsidR="00B86230" w:rsidRDefault="00B86230" w:rsidP="001A1832">
      <w:pPr>
        <w:spacing w:after="0" w:line="20" w:lineRule="atLeast"/>
        <w:jc w:val="center"/>
      </w:pPr>
    </w:p>
    <w:p w14:paraId="4DB166A3" w14:textId="77777777" w:rsidR="00B86230" w:rsidRDefault="00B86230" w:rsidP="00D149F7">
      <w:pPr>
        <w:spacing w:after="0" w:line="20" w:lineRule="atLeast"/>
        <w:jc w:val="center"/>
      </w:pPr>
    </w:p>
    <w:p w14:paraId="29BB5940" w14:textId="77777777" w:rsidR="00B82486" w:rsidRDefault="009E346D" w:rsidP="002F3F1D">
      <w:pPr>
        <w:spacing w:after="0" w:line="20" w:lineRule="atLeast"/>
        <w:jc w:val="both"/>
      </w:pPr>
      <w:r>
        <w:t>K</w:t>
      </w:r>
      <w:r w:rsidR="00B82486">
        <w:t xml:space="preserve">ey assumptions underlying the EEP </w:t>
      </w:r>
      <w:r>
        <w:t>theory of change</w:t>
      </w:r>
      <w:r w:rsidR="002C2FF6">
        <w:t xml:space="preserve"> for stoves</w:t>
      </w:r>
      <w:r w:rsidR="00B82486">
        <w:t>:</w:t>
      </w:r>
    </w:p>
    <w:p w14:paraId="135BC485" w14:textId="77777777" w:rsidR="00B82486" w:rsidRDefault="007B3BF7" w:rsidP="002F3F1D">
      <w:pPr>
        <w:pStyle w:val="ListParagraph"/>
        <w:numPr>
          <w:ilvl w:val="0"/>
          <w:numId w:val="1"/>
        </w:numPr>
        <w:spacing w:after="0" w:line="20" w:lineRule="atLeast"/>
        <w:jc w:val="both"/>
      </w:pPr>
      <w:r>
        <w:t>On-going stove development activities of other donors will result in a technically and commercially viable stove and/or a technically and commercially viable stove can be found and marketed in Mongolia.</w:t>
      </w:r>
    </w:p>
    <w:p w14:paraId="428ED4BE" w14:textId="77777777" w:rsidR="00B82486" w:rsidRDefault="00EA2926" w:rsidP="002F3F1D">
      <w:pPr>
        <w:pStyle w:val="ListParagraph"/>
        <w:numPr>
          <w:ilvl w:val="0"/>
          <w:numId w:val="1"/>
        </w:numPr>
        <w:spacing w:after="0" w:line="20" w:lineRule="atLeast"/>
        <w:jc w:val="both"/>
      </w:pPr>
      <w:r>
        <w:t>A “o</w:t>
      </w:r>
      <w:r w:rsidR="00D51222">
        <w:t>ne size fits all</w:t>
      </w:r>
      <w:r>
        <w:t>”</w:t>
      </w:r>
      <w:r w:rsidR="00D51222">
        <w:t xml:space="preserve"> </w:t>
      </w:r>
      <w:r>
        <w:t xml:space="preserve">implementation approach </w:t>
      </w:r>
      <w:r w:rsidR="005B757E">
        <w:t xml:space="preserve">did </w:t>
      </w:r>
      <w:r w:rsidR="00D51222">
        <w:t>not work in the past</w:t>
      </w:r>
      <w:r>
        <w:t>; o</w:t>
      </w:r>
      <w:r w:rsidR="00D51222">
        <w:t xml:space="preserve">ffering a variety of solutions to consumers and an intense public awareness and informational campaign </w:t>
      </w:r>
      <w:r w:rsidR="005B757E">
        <w:t>w</w:t>
      </w:r>
      <w:r w:rsidR="00BA0FC8">
        <w:t>ill</w:t>
      </w:r>
      <w:r w:rsidR="009E346D">
        <w:t xml:space="preserve"> </w:t>
      </w:r>
      <w:r w:rsidR="00D51222">
        <w:t>maximize participation.</w:t>
      </w:r>
    </w:p>
    <w:p w14:paraId="7C84603A" w14:textId="77777777" w:rsidR="005D5958" w:rsidRPr="005B757E" w:rsidRDefault="005B757E" w:rsidP="002F3F1D">
      <w:pPr>
        <w:pStyle w:val="ListParagraph"/>
        <w:numPr>
          <w:ilvl w:val="0"/>
          <w:numId w:val="1"/>
        </w:numPr>
        <w:spacing w:line="20" w:lineRule="atLeast"/>
        <w:jc w:val="both"/>
      </w:pPr>
      <w:r>
        <w:t>Decreased fuel expenditures are d</w:t>
      </w:r>
      <w:r w:rsidR="00A125AD" w:rsidRPr="005B757E">
        <w:t xml:space="preserve">ependent on type of fuel used, stove usage behavior, and </w:t>
      </w:r>
      <w:r w:rsidR="00C1640F">
        <w:t>insulation</w:t>
      </w:r>
    </w:p>
    <w:p w14:paraId="7D6C7DCA" w14:textId="77777777" w:rsidR="00E6455D" w:rsidRDefault="00D51222" w:rsidP="002F3F1D">
      <w:pPr>
        <w:pStyle w:val="ListParagraph"/>
        <w:numPr>
          <w:ilvl w:val="0"/>
          <w:numId w:val="1"/>
        </w:numPr>
        <w:spacing w:after="0" w:line="20" w:lineRule="atLeast"/>
        <w:jc w:val="both"/>
      </w:pPr>
      <w:r>
        <w:t xml:space="preserve">Demand is </w:t>
      </w:r>
      <w:r w:rsidR="00C14963">
        <w:t xml:space="preserve">price </w:t>
      </w:r>
      <w:r>
        <w:t>elastic</w:t>
      </w:r>
      <w:r w:rsidR="00C14963">
        <w:t xml:space="preserve">, that is, </w:t>
      </w:r>
      <w:r w:rsidR="00BA0FC8">
        <w:t xml:space="preserve">quantity demanded is </w:t>
      </w:r>
      <w:r w:rsidR="00C14963">
        <w:t>very responsive to lower prices.</w:t>
      </w:r>
      <w:r w:rsidR="00E6455D">
        <w:t xml:space="preserve"> </w:t>
      </w:r>
    </w:p>
    <w:p w14:paraId="46229DCD" w14:textId="77777777" w:rsidR="00E6455D" w:rsidRDefault="00D51222" w:rsidP="002F3F1D">
      <w:pPr>
        <w:pStyle w:val="ListParagraph"/>
        <w:numPr>
          <w:ilvl w:val="0"/>
          <w:numId w:val="1"/>
        </w:numPr>
        <w:spacing w:after="0" w:line="20" w:lineRule="atLeast"/>
        <w:jc w:val="both"/>
      </w:pPr>
      <w:r>
        <w:t xml:space="preserve">All </w:t>
      </w:r>
      <w:r w:rsidR="00BA0FC8">
        <w:t xml:space="preserve">eligible </w:t>
      </w:r>
      <w:r>
        <w:t>ger district residents, both existing and new, will be eligible to receive sub</w:t>
      </w:r>
      <w:r w:rsidR="00A060AB">
        <w:t xml:space="preserve">sidies. </w:t>
      </w:r>
    </w:p>
    <w:p w14:paraId="390C9F35" w14:textId="77777777" w:rsidR="00D51222" w:rsidRDefault="00A060AB" w:rsidP="002F3F1D">
      <w:pPr>
        <w:pStyle w:val="ListParagraph"/>
        <w:numPr>
          <w:ilvl w:val="0"/>
          <w:numId w:val="1"/>
        </w:numPr>
        <w:spacing w:after="0" w:line="20" w:lineRule="atLeast"/>
        <w:jc w:val="both"/>
      </w:pPr>
      <w:r>
        <w:t>Purchasers of stoves</w:t>
      </w:r>
      <w:r w:rsidR="00D51222">
        <w:t xml:space="preserve"> will </w:t>
      </w:r>
      <w:r w:rsidR="005B757E">
        <w:t xml:space="preserve">be willing to </w:t>
      </w:r>
      <w:r w:rsidR="00D51222">
        <w:t xml:space="preserve">sign a </w:t>
      </w:r>
      <w:r w:rsidR="00DA0409">
        <w:t>C</w:t>
      </w:r>
      <w:r w:rsidR="00D51222">
        <w:t xml:space="preserve">onsumer </w:t>
      </w:r>
      <w:r w:rsidR="00DA0409">
        <w:t>P</w:t>
      </w:r>
      <w:r w:rsidR="00D51222">
        <w:t xml:space="preserve">articipation </w:t>
      </w:r>
      <w:r w:rsidR="00DA0409">
        <w:t>A</w:t>
      </w:r>
      <w:r w:rsidR="00D51222">
        <w:t>greement requiring the trade</w:t>
      </w:r>
      <w:r w:rsidR="00BA0FC8">
        <w:t>-</w:t>
      </w:r>
      <w:r w:rsidR="00D51222">
        <w:t xml:space="preserve">in </w:t>
      </w:r>
      <w:r w:rsidR="00AD7C59">
        <w:t>f</w:t>
      </w:r>
      <w:r w:rsidR="00D51222">
        <w:t xml:space="preserve">or disposal of old </w:t>
      </w:r>
      <w:r w:rsidR="00AD7C59">
        <w:t>stoves</w:t>
      </w:r>
      <w:r w:rsidR="00D51222">
        <w:t>.</w:t>
      </w:r>
    </w:p>
    <w:p w14:paraId="34449703" w14:textId="77777777" w:rsidR="00D51222" w:rsidRDefault="002C2FF6" w:rsidP="002F3F1D">
      <w:pPr>
        <w:pStyle w:val="ListParagraph"/>
        <w:numPr>
          <w:ilvl w:val="0"/>
          <w:numId w:val="1"/>
        </w:numPr>
        <w:spacing w:after="0" w:line="20" w:lineRule="atLeast"/>
        <w:jc w:val="both"/>
      </w:pPr>
      <w:r>
        <w:t>New stoves</w:t>
      </w:r>
      <w:r w:rsidR="00D51222">
        <w:t xml:space="preserve"> will lead to decreases in emissions</w:t>
      </w:r>
      <w:r w:rsidR="00BA0FC8">
        <w:t xml:space="preserve"> and </w:t>
      </w:r>
      <w:r w:rsidR="00C14963">
        <w:t>improvements in ambient air quality</w:t>
      </w:r>
      <w:r w:rsidR="00BA0FC8">
        <w:t xml:space="preserve"> sufficient to impact health</w:t>
      </w:r>
      <w:r w:rsidR="00D51222">
        <w:t>.</w:t>
      </w:r>
    </w:p>
    <w:p w14:paraId="46621100" w14:textId="77777777" w:rsidR="00280BFF" w:rsidRDefault="00280BFF" w:rsidP="002F3F1D">
      <w:pPr>
        <w:pStyle w:val="ListParagraph"/>
        <w:numPr>
          <w:ilvl w:val="0"/>
          <w:numId w:val="1"/>
        </w:numPr>
        <w:spacing w:after="0" w:line="20" w:lineRule="atLeast"/>
        <w:jc w:val="both"/>
      </w:pPr>
      <w:r>
        <w:t>Nalaikh coal will continue to account for the majority of household fuel. Alternate fuels (semi-coked coal) will not be used in subsidized stoves if not approved for use by the manufacturer.</w:t>
      </w:r>
    </w:p>
    <w:p w14:paraId="3B330EB5" w14:textId="77777777" w:rsidR="002C2FF6" w:rsidRDefault="002C2FF6" w:rsidP="002F3F1D">
      <w:pPr>
        <w:pStyle w:val="ListParagraph"/>
        <w:numPr>
          <w:ilvl w:val="0"/>
          <w:numId w:val="1"/>
        </w:numPr>
        <w:spacing w:after="0" w:line="20" w:lineRule="atLeast"/>
        <w:jc w:val="both"/>
      </w:pPr>
      <w:r>
        <w:t>Men and women are equal participants in the stove market.</w:t>
      </w:r>
    </w:p>
    <w:p w14:paraId="30C80A33" w14:textId="77777777" w:rsidR="001A1832" w:rsidRDefault="001A1832" w:rsidP="00F87FAF">
      <w:pPr>
        <w:spacing w:after="0" w:line="20" w:lineRule="atLeast"/>
      </w:pPr>
    </w:p>
    <w:p w14:paraId="053C1535" w14:textId="77777777" w:rsidR="001A1832" w:rsidRDefault="001A1832" w:rsidP="00F87FAF">
      <w:pPr>
        <w:spacing w:after="0" w:line="20" w:lineRule="atLeast"/>
      </w:pPr>
    </w:p>
    <w:p w14:paraId="6D063B16" w14:textId="77777777" w:rsidR="00B82486" w:rsidRDefault="00B82486" w:rsidP="00F87FAF">
      <w:pPr>
        <w:spacing w:after="0" w:line="20" w:lineRule="atLeast"/>
      </w:pPr>
      <w:r>
        <w:rPr>
          <w:b/>
        </w:rPr>
        <w:t>Measuring Results</w:t>
      </w:r>
    </w:p>
    <w:p w14:paraId="2315BAF9" w14:textId="77777777" w:rsidR="00B82486" w:rsidRPr="0008776C" w:rsidRDefault="00291553" w:rsidP="002F3F1D">
      <w:pPr>
        <w:spacing w:after="0" w:line="20" w:lineRule="atLeast"/>
        <w:jc w:val="both"/>
      </w:pPr>
      <w:r w:rsidRPr="0008776C">
        <w:t xml:space="preserve">MCC uses </w:t>
      </w:r>
      <w:r w:rsidR="00C54051" w:rsidRPr="0008776C">
        <w:t>both monitoring a</w:t>
      </w:r>
      <w:r w:rsidR="00847ECF">
        <w:t>n</w:t>
      </w:r>
      <w:r w:rsidR="00C54051" w:rsidRPr="0008776C">
        <w:t xml:space="preserve">d evaluation data </w:t>
      </w:r>
      <w:r w:rsidR="001748D4" w:rsidRPr="0008776C">
        <w:t xml:space="preserve">for measuring </w:t>
      </w:r>
      <w:r w:rsidR="00EA2926" w:rsidRPr="0008776C">
        <w:t xml:space="preserve">and reporting </w:t>
      </w:r>
      <w:r w:rsidR="001748D4" w:rsidRPr="0008776C">
        <w:t>results</w:t>
      </w:r>
      <w:r w:rsidR="00C54051" w:rsidRPr="0008776C">
        <w:t>.</w:t>
      </w:r>
      <w:r w:rsidR="001748D4" w:rsidRPr="0008776C">
        <w:t xml:space="preserve"> </w:t>
      </w:r>
      <w:r w:rsidR="001E3F37" w:rsidRPr="0008776C">
        <w:t xml:space="preserve">Monitoring data </w:t>
      </w:r>
      <w:r w:rsidR="001748D4" w:rsidRPr="0008776C">
        <w:t>is</w:t>
      </w:r>
      <w:r w:rsidR="001E3F37" w:rsidRPr="0008776C">
        <w:t xml:space="preserve"> typically generated by the </w:t>
      </w:r>
      <w:r w:rsidR="009A3887" w:rsidRPr="0008776C">
        <w:t xml:space="preserve">program implementers and specifically </w:t>
      </w:r>
      <w:r w:rsidR="00C54051" w:rsidRPr="0008776C">
        <w:t>track</w:t>
      </w:r>
      <w:r w:rsidR="00893705">
        <w:t>ed</w:t>
      </w:r>
      <w:r w:rsidR="00C54051" w:rsidRPr="0008776C">
        <w:t xml:space="preserve"> </w:t>
      </w:r>
      <w:r w:rsidR="009A3887" w:rsidRPr="0008776C">
        <w:t xml:space="preserve">households </w:t>
      </w:r>
      <w:r w:rsidR="00C54051" w:rsidRPr="0008776C">
        <w:t xml:space="preserve">that </w:t>
      </w:r>
      <w:r w:rsidR="009A3887" w:rsidRPr="0008776C">
        <w:t xml:space="preserve">purchased MCA </w:t>
      </w:r>
      <w:r w:rsidR="00C54051" w:rsidRPr="0008776C">
        <w:t xml:space="preserve">subsidized </w:t>
      </w:r>
      <w:r w:rsidR="009A3887" w:rsidRPr="0008776C">
        <w:t>stoves</w:t>
      </w:r>
      <w:r w:rsidR="001748D4" w:rsidRPr="0008776C">
        <w:t>.</w:t>
      </w:r>
      <w:r w:rsidR="001E3F37" w:rsidRPr="0008776C">
        <w:t xml:space="preserve"> However, monitoring data </w:t>
      </w:r>
      <w:r w:rsidR="00C54051" w:rsidRPr="0008776C">
        <w:t>is</w:t>
      </w:r>
      <w:r w:rsidR="001E3F37" w:rsidRPr="0008776C">
        <w:t xml:space="preserve"> limited in that </w:t>
      </w:r>
      <w:r w:rsidR="00C54051" w:rsidRPr="0008776C">
        <w:t>it</w:t>
      </w:r>
      <w:r w:rsidR="001E3F37" w:rsidRPr="0008776C">
        <w:t xml:space="preserve"> cannot tell us what program participants would have done in the absence of the MCC-funded intervention. </w:t>
      </w:r>
      <w:r w:rsidR="00C54051" w:rsidRPr="0008776C">
        <w:t xml:space="preserve">Accordingly, </w:t>
      </w:r>
      <w:r w:rsidR="001E3F37" w:rsidRPr="0008776C">
        <w:t xml:space="preserve">MCC </w:t>
      </w:r>
      <w:r w:rsidR="00176AB5">
        <w:t>invested in an</w:t>
      </w:r>
      <w:r w:rsidR="00176AB5" w:rsidRPr="0008776C">
        <w:t xml:space="preserve"> </w:t>
      </w:r>
      <w:r w:rsidR="001E3F37" w:rsidRPr="0008776C">
        <w:t xml:space="preserve">independent impact evaluation </w:t>
      </w:r>
      <w:r w:rsidR="00C54051" w:rsidRPr="0008776C">
        <w:t xml:space="preserve">to </w:t>
      </w:r>
      <w:r w:rsidR="001E3F37" w:rsidRPr="0008776C">
        <w:t>establish a counterfactual in order to assess what would have happened in the absence of the MCC investment.</w:t>
      </w:r>
    </w:p>
    <w:p w14:paraId="13B29F3A" w14:textId="77777777" w:rsidR="00F11B58" w:rsidRPr="0008776C" w:rsidRDefault="00F11B58" w:rsidP="002F3F1D">
      <w:pPr>
        <w:spacing w:after="0" w:line="20" w:lineRule="atLeast"/>
        <w:jc w:val="both"/>
      </w:pPr>
    </w:p>
    <w:p w14:paraId="46933376" w14:textId="77777777" w:rsidR="00B82486" w:rsidRDefault="00B82486" w:rsidP="002F3F1D">
      <w:pPr>
        <w:spacing w:after="0" w:line="20" w:lineRule="atLeast"/>
        <w:jc w:val="both"/>
      </w:pPr>
      <w:r>
        <w:rPr>
          <w:b/>
        </w:rPr>
        <w:t>Monitoring Results</w:t>
      </w:r>
    </w:p>
    <w:p w14:paraId="182A02F9" w14:textId="77777777" w:rsidR="00B82486" w:rsidRDefault="001748D4" w:rsidP="002F3F1D">
      <w:pPr>
        <w:spacing w:after="0" w:line="20" w:lineRule="atLeast"/>
        <w:jc w:val="both"/>
      </w:pPr>
      <w:r>
        <w:t>The following table summarizes performance on output and outcome indicators s</w:t>
      </w:r>
      <w:r w:rsidR="004F18BD">
        <w:t xml:space="preserve">pecific to the </w:t>
      </w:r>
      <w:r w:rsidR="00847ECF">
        <w:t>stove</w:t>
      </w:r>
      <w:r w:rsidR="004F18BD">
        <w:t xml:space="preserve"> a</w:t>
      </w:r>
      <w:r>
        <w:t>ctivity</w:t>
      </w:r>
      <w:r w:rsidR="00176AB5">
        <w:t xml:space="preserve"> according to the Compact monitoring data</w:t>
      </w:r>
      <w:r>
        <w:t>.</w:t>
      </w:r>
      <w:r w:rsidR="00D6183E" w:rsidRPr="00D6183E">
        <w:rPr>
          <w:rStyle w:val="FootnoteReference"/>
          <w:rFonts w:ascii="Calibri" w:hAnsi="Calibri" w:cs="Calibri"/>
          <w:sz w:val="24"/>
          <w:szCs w:val="24"/>
        </w:rPr>
        <w:footnoteReference w:id="3"/>
      </w:r>
    </w:p>
    <w:p w14:paraId="1EC0BA6A" w14:textId="77777777" w:rsidR="006908EB" w:rsidRPr="006908EB" w:rsidRDefault="006908EB" w:rsidP="006908EB">
      <w:pPr>
        <w:spacing w:after="0" w:line="240" w:lineRule="auto"/>
        <w:jc w:val="both"/>
        <w:rPr>
          <w:rFonts w:ascii="Calibri" w:eastAsia="Times New Roman" w:hAnsi="Calibri" w:cs="Calibri"/>
          <w:sz w:val="24"/>
          <w:szCs w:val="24"/>
        </w:rPr>
      </w:pPr>
    </w:p>
    <w:tbl>
      <w:tblPr>
        <w:tblStyle w:val="TableGrid"/>
        <w:tblpPr w:leftFromText="180" w:rightFromText="180" w:vertAnchor="text" w:tblpXSpec="center" w:tblpY="1"/>
        <w:tblOverlap w:val="never"/>
        <w:tblW w:w="10407" w:type="dxa"/>
        <w:tblLayout w:type="fixed"/>
        <w:tblLook w:val="04A0" w:firstRow="1" w:lastRow="0" w:firstColumn="1" w:lastColumn="0" w:noHBand="0" w:noVBand="1"/>
      </w:tblPr>
      <w:tblGrid>
        <w:gridCol w:w="1938"/>
        <w:gridCol w:w="4177"/>
        <w:gridCol w:w="1080"/>
        <w:gridCol w:w="1251"/>
        <w:gridCol w:w="863"/>
        <w:gridCol w:w="1098"/>
      </w:tblGrid>
      <w:tr w:rsidR="006908EB" w:rsidRPr="006908EB" w14:paraId="50FBC3A0" w14:textId="77777777" w:rsidTr="00792FC6">
        <w:tc>
          <w:tcPr>
            <w:tcW w:w="1938" w:type="dxa"/>
            <w:shd w:val="clear" w:color="auto" w:fill="BDD6EE" w:themeFill="accent1" w:themeFillTint="66"/>
            <w:vAlign w:val="center"/>
          </w:tcPr>
          <w:p w14:paraId="62BC3193" w14:textId="77777777" w:rsidR="006908EB" w:rsidRPr="006908EB" w:rsidRDefault="006908EB" w:rsidP="006908EB">
            <w:pPr>
              <w:keepNext/>
              <w:numPr>
                <w:ilvl w:val="0"/>
                <w:numId w:val="6"/>
              </w:numPr>
              <w:contextualSpacing/>
              <w:jc w:val="center"/>
              <w:outlineLvl w:val="0"/>
              <w:rPr>
                <w:rFonts w:ascii="Calibri" w:eastAsiaTheme="majorEastAsia" w:hAnsi="Calibri" w:cs="Calibri"/>
                <w:b/>
                <w:bCs/>
                <w:i/>
                <w:iCs/>
                <w:color w:val="000000"/>
                <w:szCs w:val="20"/>
              </w:rPr>
            </w:pPr>
            <w:r w:rsidRPr="006908EB">
              <w:rPr>
                <w:rFonts w:ascii="Calibri" w:eastAsia="Times New Roman" w:hAnsi="Calibri" w:cs="Calibri"/>
                <w:b/>
                <w:szCs w:val="20"/>
              </w:rPr>
              <w:br w:type="page"/>
              <w:t xml:space="preserve">Outcome </w:t>
            </w:r>
            <w:r w:rsidRPr="006908EB">
              <w:rPr>
                <w:rFonts w:ascii="Calibri" w:eastAsia="Times New Roman" w:hAnsi="Calibri" w:cs="Calibri"/>
                <w:b/>
                <w:bCs/>
                <w:color w:val="000000"/>
                <w:szCs w:val="20"/>
              </w:rPr>
              <w:t>Indicators</w:t>
            </w:r>
          </w:p>
        </w:tc>
        <w:tc>
          <w:tcPr>
            <w:tcW w:w="4177" w:type="dxa"/>
            <w:shd w:val="clear" w:color="auto" w:fill="BDD6EE" w:themeFill="accent1" w:themeFillTint="66"/>
            <w:vAlign w:val="center"/>
          </w:tcPr>
          <w:p w14:paraId="68C6AFAA" w14:textId="77777777" w:rsidR="006908EB" w:rsidRPr="006908EB" w:rsidRDefault="006908EB" w:rsidP="006908EB">
            <w:pPr>
              <w:keepNext/>
              <w:numPr>
                <w:ilvl w:val="0"/>
                <w:numId w:val="6"/>
              </w:numPr>
              <w:contextualSpacing/>
              <w:jc w:val="center"/>
              <w:outlineLvl w:val="0"/>
              <w:rPr>
                <w:rFonts w:ascii="Calibri" w:eastAsiaTheme="majorEastAsia" w:hAnsi="Calibri" w:cs="Calibri"/>
                <w:b/>
                <w:bCs/>
                <w:i/>
                <w:iCs/>
                <w:color w:val="000000"/>
                <w:szCs w:val="20"/>
              </w:rPr>
            </w:pPr>
            <w:r w:rsidRPr="006908EB">
              <w:rPr>
                <w:rFonts w:ascii="Calibri" w:eastAsia="Times New Roman" w:hAnsi="Calibri" w:cs="Calibri"/>
                <w:b/>
                <w:bCs/>
                <w:color w:val="000000"/>
                <w:szCs w:val="20"/>
              </w:rPr>
              <w:t>Definition</w:t>
            </w:r>
          </w:p>
        </w:tc>
        <w:tc>
          <w:tcPr>
            <w:tcW w:w="1080" w:type="dxa"/>
            <w:shd w:val="clear" w:color="auto" w:fill="BDD6EE" w:themeFill="accent1" w:themeFillTint="66"/>
            <w:vAlign w:val="center"/>
          </w:tcPr>
          <w:p w14:paraId="294DEFBD" w14:textId="77777777" w:rsidR="006908EB" w:rsidRPr="006908EB" w:rsidRDefault="006908EB" w:rsidP="006908EB">
            <w:pPr>
              <w:keepNext/>
              <w:numPr>
                <w:ilvl w:val="0"/>
                <w:numId w:val="6"/>
              </w:numPr>
              <w:contextualSpacing/>
              <w:jc w:val="center"/>
              <w:outlineLvl w:val="0"/>
              <w:rPr>
                <w:rFonts w:ascii="Calibri" w:eastAsiaTheme="majorEastAsia" w:hAnsi="Calibri" w:cs="Calibri"/>
                <w:b/>
                <w:bCs/>
                <w:i/>
                <w:iCs/>
                <w:color w:val="000000"/>
                <w:szCs w:val="20"/>
              </w:rPr>
            </w:pPr>
            <w:r w:rsidRPr="006908EB">
              <w:rPr>
                <w:rFonts w:ascii="Calibri" w:eastAsia="Times New Roman" w:hAnsi="Calibri" w:cs="Calibri"/>
                <w:b/>
                <w:bCs/>
                <w:color w:val="000000"/>
                <w:szCs w:val="20"/>
              </w:rPr>
              <w:t>Baseline</w:t>
            </w:r>
          </w:p>
        </w:tc>
        <w:tc>
          <w:tcPr>
            <w:tcW w:w="1251" w:type="dxa"/>
            <w:shd w:val="clear" w:color="auto" w:fill="BDD6EE" w:themeFill="accent1" w:themeFillTint="66"/>
            <w:vAlign w:val="center"/>
          </w:tcPr>
          <w:p w14:paraId="2DF2FD7A" w14:textId="77777777" w:rsidR="006908EB" w:rsidRPr="006908EB" w:rsidRDefault="006908EB" w:rsidP="006908EB">
            <w:pPr>
              <w:keepNext/>
              <w:numPr>
                <w:ilvl w:val="0"/>
                <w:numId w:val="6"/>
              </w:numPr>
              <w:contextualSpacing/>
              <w:jc w:val="center"/>
              <w:outlineLvl w:val="0"/>
              <w:rPr>
                <w:rFonts w:ascii="Calibri" w:eastAsiaTheme="majorEastAsia" w:hAnsi="Calibri" w:cs="Calibri"/>
                <w:b/>
                <w:bCs/>
                <w:i/>
                <w:iCs/>
                <w:color w:val="000000"/>
                <w:szCs w:val="20"/>
              </w:rPr>
            </w:pPr>
            <w:r w:rsidRPr="006908EB">
              <w:rPr>
                <w:rFonts w:ascii="Calibri" w:eastAsia="Times New Roman" w:hAnsi="Calibri" w:cs="Calibri"/>
                <w:b/>
                <w:bCs/>
                <w:color w:val="000000"/>
                <w:szCs w:val="20"/>
              </w:rPr>
              <w:t>Actual Achieved</w:t>
            </w:r>
          </w:p>
        </w:tc>
        <w:tc>
          <w:tcPr>
            <w:tcW w:w="863" w:type="dxa"/>
            <w:shd w:val="clear" w:color="auto" w:fill="BDD6EE" w:themeFill="accent1" w:themeFillTint="66"/>
            <w:vAlign w:val="center"/>
          </w:tcPr>
          <w:p w14:paraId="5DF306AA" w14:textId="77777777" w:rsidR="006908EB" w:rsidRPr="006908EB" w:rsidRDefault="006908EB" w:rsidP="006908EB">
            <w:pPr>
              <w:keepNext/>
              <w:numPr>
                <w:ilvl w:val="0"/>
                <w:numId w:val="6"/>
              </w:numPr>
              <w:contextualSpacing/>
              <w:jc w:val="center"/>
              <w:outlineLvl w:val="0"/>
              <w:rPr>
                <w:rFonts w:ascii="Calibri" w:eastAsiaTheme="majorEastAsia" w:hAnsi="Calibri" w:cs="Calibri"/>
                <w:b/>
                <w:bCs/>
                <w:i/>
                <w:iCs/>
                <w:color w:val="000000"/>
                <w:szCs w:val="20"/>
              </w:rPr>
            </w:pPr>
            <w:r w:rsidRPr="006908EB">
              <w:rPr>
                <w:rFonts w:ascii="Calibri" w:eastAsia="Times New Roman" w:hAnsi="Calibri" w:cs="Calibri"/>
                <w:b/>
                <w:bCs/>
                <w:color w:val="000000"/>
                <w:szCs w:val="20"/>
              </w:rPr>
              <w:t>Target</w:t>
            </w:r>
          </w:p>
        </w:tc>
        <w:tc>
          <w:tcPr>
            <w:tcW w:w="1098" w:type="dxa"/>
            <w:shd w:val="clear" w:color="auto" w:fill="BDD6EE" w:themeFill="accent1" w:themeFillTint="66"/>
            <w:vAlign w:val="center"/>
          </w:tcPr>
          <w:p w14:paraId="4F537D53" w14:textId="77777777" w:rsidR="006908EB" w:rsidRPr="006908EB" w:rsidRDefault="006908EB" w:rsidP="00847ECF">
            <w:pPr>
              <w:keepNext/>
              <w:numPr>
                <w:ilvl w:val="0"/>
                <w:numId w:val="6"/>
              </w:numPr>
              <w:contextualSpacing/>
              <w:jc w:val="center"/>
              <w:outlineLvl w:val="0"/>
              <w:rPr>
                <w:rFonts w:ascii="Calibri" w:eastAsiaTheme="majorEastAsia" w:hAnsi="Calibri" w:cs="Calibri"/>
                <w:b/>
                <w:bCs/>
                <w:i/>
                <w:iCs/>
                <w:color w:val="000000"/>
                <w:szCs w:val="20"/>
              </w:rPr>
            </w:pPr>
            <w:r w:rsidRPr="006908EB">
              <w:rPr>
                <w:rFonts w:ascii="Calibri" w:eastAsia="Times New Roman" w:hAnsi="Calibri" w:cs="Calibri"/>
                <w:b/>
                <w:bCs/>
                <w:color w:val="000000"/>
                <w:szCs w:val="20"/>
              </w:rPr>
              <w:t xml:space="preserve">Percent </w:t>
            </w:r>
            <w:r w:rsidR="00847ECF">
              <w:rPr>
                <w:rFonts w:ascii="Calibri" w:eastAsia="Times New Roman" w:hAnsi="Calibri" w:cs="Calibri"/>
                <w:b/>
                <w:bCs/>
                <w:color w:val="000000"/>
                <w:szCs w:val="20"/>
              </w:rPr>
              <w:t>of Target Achieved</w:t>
            </w:r>
          </w:p>
        </w:tc>
      </w:tr>
      <w:tr w:rsidR="006908EB" w:rsidRPr="006908EB" w14:paraId="6F6A332B" w14:textId="77777777" w:rsidTr="00792FC6">
        <w:trPr>
          <w:trHeight w:val="300"/>
        </w:trPr>
        <w:tc>
          <w:tcPr>
            <w:tcW w:w="1938" w:type="dxa"/>
            <w:noWrap/>
            <w:vAlign w:val="center"/>
          </w:tcPr>
          <w:p w14:paraId="658CAF3C" w14:textId="77777777" w:rsidR="006908EB" w:rsidRPr="001C559A" w:rsidRDefault="006908EB" w:rsidP="006908EB">
            <w:pPr>
              <w:keepNext/>
              <w:numPr>
                <w:ilvl w:val="0"/>
                <w:numId w:val="6"/>
              </w:numPr>
              <w:contextualSpacing/>
              <w:outlineLvl w:val="0"/>
              <w:rPr>
                <w:rFonts w:eastAsia="Times New Roman" w:cs="Calibri"/>
                <w:b/>
                <w:color w:val="000000"/>
                <w:sz w:val="20"/>
                <w:szCs w:val="20"/>
              </w:rPr>
            </w:pPr>
            <w:r w:rsidRPr="001C559A">
              <w:rPr>
                <w:rFonts w:eastAsia="Times New Roman" w:cs="Calibri"/>
                <w:b/>
                <w:color w:val="000000"/>
                <w:sz w:val="20"/>
                <w:szCs w:val="20"/>
              </w:rPr>
              <w:t>Percent difference in PM2.5 emissions</w:t>
            </w:r>
          </w:p>
        </w:tc>
        <w:tc>
          <w:tcPr>
            <w:tcW w:w="4177" w:type="dxa"/>
            <w:vAlign w:val="center"/>
          </w:tcPr>
          <w:p w14:paraId="612B7007" w14:textId="77777777" w:rsidR="006908EB" w:rsidRPr="006908EB" w:rsidRDefault="006908EB" w:rsidP="009E240C">
            <w:pPr>
              <w:keepNext/>
              <w:numPr>
                <w:ilvl w:val="0"/>
                <w:numId w:val="6"/>
              </w:numPr>
              <w:contextualSpacing/>
              <w:outlineLvl w:val="0"/>
              <w:rPr>
                <w:rFonts w:eastAsia="Times New Roman" w:cs="Calibri"/>
                <w:color w:val="000000"/>
                <w:sz w:val="20"/>
                <w:szCs w:val="20"/>
              </w:rPr>
            </w:pPr>
            <w:r w:rsidRPr="006908EB">
              <w:rPr>
                <w:rFonts w:eastAsia="Times New Roman" w:cs="Calibri"/>
                <w:color w:val="000000"/>
                <w:sz w:val="20"/>
                <w:szCs w:val="20"/>
              </w:rPr>
              <w:t xml:space="preserve">This indicator captures the percent reduction in PM2.5 emissions that project stoves make to ambient concentration in Ulaanbaatar. The PM2.5 emissions capture only household contributions during the heating season </w:t>
            </w:r>
            <w:r w:rsidR="00E147DD" w:rsidRPr="006908EB">
              <w:rPr>
                <w:rFonts w:eastAsia="Times New Roman" w:cs="Calibri"/>
                <w:color w:val="000000"/>
                <w:sz w:val="20"/>
                <w:szCs w:val="20"/>
              </w:rPr>
              <w:t>(</w:t>
            </w:r>
            <w:r w:rsidR="00E147DD">
              <w:rPr>
                <w:rFonts w:eastAsia="Times New Roman" w:cs="Calibri"/>
                <w:color w:val="000000"/>
                <w:sz w:val="20"/>
                <w:szCs w:val="20"/>
              </w:rPr>
              <w:t>October-March</w:t>
            </w:r>
            <w:r w:rsidRPr="006908EB">
              <w:rPr>
                <w:rFonts w:eastAsia="Times New Roman" w:cs="Calibri"/>
                <w:color w:val="000000"/>
                <w:sz w:val="20"/>
                <w:szCs w:val="20"/>
              </w:rPr>
              <w:t>). The indicator is modeled for all project stoves as: PM2.5 emissions = (gram/kg fuel) x (the amount of fuel) x (the number of project stoves).</w:t>
            </w:r>
          </w:p>
        </w:tc>
        <w:tc>
          <w:tcPr>
            <w:tcW w:w="1080" w:type="dxa"/>
            <w:vAlign w:val="center"/>
          </w:tcPr>
          <w:p w14:paraId="5A75B793"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0</w:t>
            </w:r>
          </w:p>
        </w:tc>
        <w:tc>
          <w:tcPr>
            <w:tcW w:w="1251" w:type="dxa"/>
            <w:noWrap/>
            <w:vAlign w:val="center"/>
          </w:tcPr>
          <w:p w14:paraId="711065FB" w14:textId="77777777" w:rsidR="006908EB" w:rsidRPr="006908EB" w:rsidRDefault="00847ECF" w:rsidP="00EA2711">
            <w:pPr>
              <w:keepNext/>
              <w:numPr>
                <w:ilvl w:val="0"/>
                <w:numId w:val="6"/>
              </w:numPr>
              <w:contextualSpacing/>
              <w:jc w:val="center"/>
              <w:outlineLvl w:val="0"/>
              <w:rPr>
                <w:rFonts w:eastAsia="Times New Roman" w:cs="Calibri"/>
                <w:color w:val="000000"/>
                <w:sz w:val="20"/>
                <w:szCs w:val="20"/>
              </w:rPr>
            </w:pPr>
            <w:r>
              <w:rPr>
                <w:rFonts w:eastAsia="Times New Roman" w:cs="Calibri"/>
                <w:color w:val="000000"/>
                <w:sz w:val="20"/>
                <w:szCs w:val="20"/>
              </w:rPr>
              <w:t>-</w:t>
            </w:r>
            <w:r w:rsidR="006908EB" w:rsidRPr="006908EB">
              <w:rPr>
                <w:rFonts w:eastAsia="Times New Roman" w:cs="Calibri"/>
                <w:color w:val="000000"/>
                <w:sz w:val="20"/>
                <w:szCs w:val="20"/>
              </w:rPr>
              <w:t>28%</w:t>
            </w:r>
          </w:p>
        </w:tc>
        <w:tc>
          <w:tcPr>
            <w:tcW w:w="863" w:type="dxa"/>
            <w:noWrap/>
            <w:vAlign w:val="center"/>
          </w:tcPr>
          <w:p w14:paraId="1D253763" w14:textId="77777777" w:rsidR="006908EB" w:rsidRPr="006908EB" w:rsidRDefault="00847ECF" w:rsidP="00EA2711">
            <w:pPr>
              <w:keepNext/>
              <w:numPr>
                <w:ilvl w:val="0"/>
                <w:numId w:val="6"/>
              </w:numPr>
              <w:contextualSpacing/>
              <w:jc w:val="center"/>
              <w:outlineLvl w:val="0"/>
              <w:rPr>
                <w:rFonts w:eastAsia="Times New Roman" w:cs="Calibri"/>
                <w:color w:val="000000"/>
                <w:sz w:val="20"/>
                <w:szCs w:val="20"/>
              </w:rPr>
            </w:pPr>
            <w:r>
              <w:rPr>
                <w:rFonts w:eastAsia="Times New Roman" w:cs="Calibri"/>
                <w:color w:val="000000"/>
                <w:sz w:val="20"/>
                <w:szCs w:val="20"/>
              </w:rPr>
              <w:t>-</w:t>
            </w:r>
            <w:r w:rsidR="006908EB" w:rsidRPr="006908EB">
              <w:rPr>
                <w:rFonts w:eastAsia="Times New Roman" w:cs="Calibri"/>
                <w:color w:val="000000"/>
                <w:sz w:val="20"/>
                <w:szCs w:val="20"/>
              </w:rPr>
              <w:t>57%</w:t>
            </w:r>
          </w:p>
        </w:tc>
        <w:tc>
          <w:tcPr>
            <w:tcW w:w="1098" w:type="dxa"/>
            <w:noWrap/>
            <w:vAlign w:val="center"/>
          </w:tcPr>
          <w:p w14:paraId="37CA8557"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49%</w:t>
            </w:r>
          </w:p>
        </w:tc>
      </w:tr>
      <w:tr w:rsidR="006908EB" w:rsidRPr="006908EB" w14:paraId="02A16DB7" w14:textId="77777777" w:rsidTr="00792FC6">
        <w:trPr>
          <w:trHeight w:val="300"/>
        </w:trPr>
        <w:tc>
          <w:tcPr>
            <w:tcW w:w="1938" w:type="dxa"/>
            <w:noWrap/>
            <w:vAlign w:val="center"/>
          </w:tcPr>
          <w:p w14:paraId="5839ED49" w14:textId="77777777" w:rsidR="006908EB" w:rsidRPr="001C559A" w:rsidRDefault="006908EB" w:rsidP="009E240C">
            <w:pPr>
              <w:keepNext/>
              <w:numPr>
                <w:ilvl w:val="0"/>
                <w:numId w:val="6"/>
              </w:numPr>
              <w:contextualSpacing/>
              <w:outlineLvl w:val="0"/>
              <w:rPr>
                <w:rFonts w:eastAsia="Times New Roman" w:cs="Times New Roman"/>
                <w:b/>
                <w:color w:val="000000"/>
                <w:sz w:val="20"/>
                <w:szCs w:val="20"/>
              </w:rPr>
            </w:pPr>
            <w:r w:rsidRPr="001C559A">
              <w:rPr>
                <w:rFonts w:eastAsia="Times New Roman" w:cs="Times New Roman"/>
                <w:b/>
                <w:color w:val="000000"/>
                <w:sz w:val="20"/>
                <w:szCs w:val="20"/>
              </w:rPr>
              <w:t xml:space="preserve">Absolute difference in total ambient PM2.5 contributions from MCA stoves versus traditional stoves in gers and </w:t>
            </w:r>
            <w:r w:rsidR="001C559A">
              <w:rPr>
                <w:rFonts w:eastAsia="Times New Roman" w:cs="Times New Roman"/>
                <w:b/>
                <w:color w:val="000000"/>
                <w:sz w:val="20"/>
                <w:szCs w:val="20"/>
              </w:rPr>
              <w:t xml:space="preserve">standard </w:t>
            </w:r>
            <w:r w:rsidRPr="001C559A">
              <w:rPr>
                <w:rFonts w:eastAsia="Times New Roman" w:cs="Times New Roman"/>
                <w:b/>
                <w:color w:val="000000"/>
                <w:sz w:val="20"/>
                <w:szCs w:val="20"/>
              </w:rPr>
              <w:t>houses (tons)</w:t>
            </w:r>
          </w:p>
        </w:tc>
        <w:tc>
          <w:tcPr>
            <w:tcW w:w="4177" w:type="dxa"/>
            <w:vAlign w:val="center"/>
          </w:tcPr>
          <w:p w14:paraId="4150DC51" w14:textId="77777777" w:rsidR="006908EB" w:rsidRPr="006908EB" w:rsidRDefault="006908EB" w:rsidP="009E240C">
            <w:pPr>
              <w:keepNext/>
              <w:numPr>
                <w:ilvl w:val="0"/>
                <w:numId w:val="6"/>
              </w:numPr>
              <w:contextualSpacing/>
              <w:outlineLvl w:val="0"/>
              <w:rPr>
                <w:rFonts w:eastAsia="Times New Roman" w:cs="Calibri"/>
                <w:color w:val="000000"/>
                <w:sz w:val="20"/>
                <w:szCs w:val="20"/>
              </w:rPr>
            </w:pPr>
            <w:r w:rsidRPr="006908EB">
              <w:rPr>
                <w:rFonts w:eastAsia="Times New Roman" w:cs="Calibri"/>
                <w:color w:val="000000"/>
                <w:sz w:val="20"/>
                <w:szCs w:val="20"/>
              </w:rPr>
              <w:t xml:space="preserve">This indicator captures the absolute reduction in PM2.5 emissions that project stoves make to ambient concentration in Ulaanbaatar. The absolute value is important for specific dose response for health outcomes.  The PM2.5 emissions capture only household contributions during the heating season (October to March).  The indicator is an output of a model of the UB </w:t>
            </w:r>
            <w:r w:rsidR="00EE100B" w:rsidRPr="006908EB">
              <w:rPr>
                <w:rFonts w:eastAsia="Times New Roman" w:cs="Calibri"/>
                <w:color w:val="000000"/>
                <w:sz w:val="20"/>
                <w:szCs w:val="20"/>
              </w:rPr>
              <w:t>air shed</w:t>
            </w:r>
            <w:r w:rsidRPr="006908EB">
              <w:rPr>
                <w:rFonts w:eastAsia="Times New Roman" w:cs="Calibri"/>
                <w:color w:val="000000"/>
                <w:sz w:val="20"/>
                <w:szCs w:val="20"/>
              </w:rPr>
              <w:t>.</w:t>
            </w:r>
          </w:p>
        </w:tc>
        <w:tc>
          <w:tcPr>
            <w:tcW w:w="1080" w:type="dxa"/>
            <w:vAlign w:val="center"/>
          </w:tcPr>
          <w:p w14:paraId="5620DE40"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0</w:t>
            </w:r>
          </w:p>
        </w:tc>
        <w:tc>
          <w:tcPr>
            <w:tcW w:w="1251" w:type="dxa"/>
            <w:noWrap/>
            <w:vAlign w:val="center"/>
          </w:tcPr>
          <w:p w14:paraId="45FB1A63" w14:textId="77777777" w:rsidR="00EA2711" w:rsidRDefault="00847ECF" w:rsidP="00EA2711">
            <w:pPr>
              <w:keepNext/>
              <w:numPr>
                <w:ilvl w:val="0"/>
                <w:numId w:val="6"/>
              </w:numPr>
              <w:contextualSpacing/>
              <w:jc w:val="center"/>
              <w:outlineLvl w:val="0"/>
              <w:rPr>
                <w:rFonts w:eastAsia="Times New Roman" w:cs="Calibri"/>
                <w:color w:val="000000"/>
                <w:sz w:val="20"/>
                <w:szCs w:val="20"/>
              </w:rPr>
            </w:pPr>
            <w:r>
              <w:rPr>
                <w:rFonts w:eastAsia="Times New Roman" w:cs="Calibri"/>
                <w:color w:val="000000"/>
                <w:sz w:val="20"/>
                <w:szCs w:val="20"/>
              </w:rPr>
              <w:t>-</w:t>
            </w:r>
            <w:r w:rsidR="006908EB" w:rsidRPr="006908EB">
              <w:rPr>
                <w:rFonts w:eastAsia="Times New Roman" w:cs="Calibri"/>
                <w:color w:val="000000"/>
                <w:sz w:val="20"/>
                <w:szCs w:val="20"/>
              </w:rPr>
              <w:t>1,150</w:t>
            </w:r>
          </w:p>
          <w:p w14:paraId="4D301956"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tons</w:t>
            </w:r>
          </w:p>
        </w:tc>
        <w:tc>
          <w:tcPr>
            <w:tcW w:w="863" w:type="dxa"/>
            <w:noWrap/>
            <w:vAlign w:val="center"/>
          </w:tcPr>
          <w:p w14:paraId="4948DC1F" w14:textId="77777777" w:rsidR="006908EB" w:rsidRPr="006908EB" w:rsidRDefault="00847ECF" w:rsidP="00EA2711">
            <w:pPr>
              <w:keepNext/>
              <w:numPr>
                <w:ilvl w:val="0"/>
                <w:numId w:val="6"/>
              </w:numPr>
              <w:contextualSpacing/>
              <w:jc w:val="center"/>
              <w:outlineLvl w:val="0"/>
              <w:rPr>
                <w:rFonts w:eastAsia="Times New Roman" w:cs="Calibri"/>
                <w:color w:val="000000"/>
                <w:sz w:val="20"/>
                <w:szCs w:val="20"/>
              </w:rPr>
            </w:pPr>
            <w:r>
              <w:rPr>
                <w:rFonts w:eastAsia="Times New Roman" w:cs="Calibri"/>
                <w:color w:val="000000"/>
                <w:sz w:val="20"/>
                <w:szCs w:val="20"/>
              </w:rPr>
              <w:t>-</w:t>
            </w:r>
            <w:r w:rsidR="006908EB" w:rsidRPr="006908EB">
              <w:rPr>
                <w:rFonts w:eastAsia="Times New Roman" w:cs="Calibri"/>
                <w:color w:val="000000"/>
                <w:sz w:val="20"/>
                <w:szCs w:val="20"/>
              </w:rPr>
              <w:t>2,635 tons</w:t>
            </w:r>
          </w:p>
        </w:tc>
        <w:tc>
          <w:tcPr>
            <w:tcW w:w="1098" w:type="dxa"/>
            <w:noWrap/>
            <w:vAlign w:val="center"/>
          </w:tcPr>
          <w:p w14:paraId="0B316FFA"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44%</w:t>
            </w:r>
          </w:p>
        </w:tc>
      </w:tr>
      <w:tr w:rsidR="006908EB" w:rsidRPr="006908EB" w14:paraId="603B461F" w14:textId="77777777" w:rsidTr="00792FC6">
        <w:trPr>
          <w:trHeight w:val="300"/>
        </w:trPr>
        <w:tc>
          <w:tcPr>
            <w:tcW w:w="1938" w:type="dxa"/>
            <w:noWrap/>
            <w:vAlign w:val="center"/>
          </w:tcPr>
          <w:p w14:paraId="05FAB92F" w14:textId="77777777" w:rsidR="006908EB" w:rsidRPr="001C559A" w:rsidRDefault="006908EB" w:rsidP="006908EB">
            <w:pPr>
              <w:keepNext/>
              <w:numPr>
                <w:ilvl w:val="0"/>
                <w:numId w:val="6"/>
              </w:numPr>
              <w:contextualSpacing/>
              <w:outlineLvl w:val="0"/>
              <w:rPr>
                <w:rFonts w:eastAsia="Times New Roman" w:cs="Times New Roman"/>
                <w:b/>
                <w:color w:val="000000"/>
                <w:sz w:val="20"/>
                <w:szCs w:val="20"/>
              </w:rPr>
            </w:pPr>
            <w:r w:rsidRPr="001C559A">
              <w:rPr>
                <w:rFonts w:eastAsia="Times New Roman" w:cs="Times New Roman"/>
                <w:b/>
                <w:color w:val="000000"/>
                <w:sz w:val="20"/>
                <w:szCs w:val="20"/>
              </w:rPr>
              <w:t xml:space="preserve">Percent difference in average nighttime household PM2.5 emissions for households with MCA versus </w:t>
            </w:r>
            <w:r w:rsidRPr="001C559A">
              <w:rPr>
                <w:rFonts w:eastAsia="Times New Roman" w:cs="Times New Roman"/>
                <w:b/>
                <w:color w:val="000000"/>
                <w:sz w:val="20"/>
                <w:szCs w:val="20"/>
              </w:rPr>
              <w:lastRenderedPageBreak/>
              <w:t>traditional stoves</w:t>
            </w:r>
            <w:r w:rsidR="00D62A36">
              <w:rPr>
                <w:rStyle w:val="FootnoteReference"/>
                <w:rFonts w:eastAsia="Times New Roman" w:cs="Times New Roman"/>
                <w:b/>
                <w:color w:val="000000"/>
                <w:sz w:val="20"/>
                <w:szCs w:val="20"/>
              </w:rPr>
              <w:footnoteReference w:id="4"/>
            </w:r>
          </w:p>
        </w:tc>
        <w:tc>
          <w:tcPr>
            <w:tcW w:w="4177" w:type="dxa"/>
            <w:vAlign w:val="center"/>
          </w:tcPr>
          <w:p w14:paraId="7E9F0049" w14:textId="77777777" w:rsidR="006908EB" w:rsidRPr="006908EB" w:rsidRDefault="006908EB" w:rsidP="00910410">
            <w:pPr>
              <w:keepNext/>
              <w:tabs>
                <w:tab w:val="num" w:pos="0"/>
              </w:tabs>
              <w:contextualSpacing/>
              <w:outlineLvl w:val="0"/>
              <w:rPr>
                <w:rFonts w:eastAsia="Times New Roman" w:cs="Calibri"/>
                <w:color w:val="000000"/>
                <w:sz w:val="20"/>
                <w:szCs w:val="20"/>
              </w:rPr>
            </w:pPr>
            <w:r w:rsidRPr="00910410">
              <w:rPr>
                <w:rFonts w:eastAsia="Times New Roman" w:cs="Calibri"/>
                <w:color w:val="000000"/>
                <w:sz w:val="20"/>
              </w:rPr>
              <w:lastRenderedPageBreak/>
              <w:t>Average household PM2.5 emissions in project v</w:t>
            </w:r>
            <w:r w:rsidR="00E147DD" w:rsidRPr="00910410">
              <w:rPr>
                <w:rFonts w:eastAsia="Times New Roman" w:cs="Calibri"/>
                <w:color w:val="000000"/>
                <w:sz w:val="20"/>
              </w:rPr>
              <w:t xml:space="preserve">ersus </w:t>
            </w:r>
            <w:r w:rsidRPr="00910410">
              <w:rPr>
                <w:rFonts w:eastAsia="Times New Roman" w:cs="Calibri"/>
                <w:color w:val="000000"/>
                <w:sz w:val="20"/>
              </w:rPr>
              <w:t xml:space="preserve">non-project households during the heating season </w:t>
            </w:r>
            <w:r w:rsidR="00E147DD" w:rsidRPr="00910410">
              <w:rPr>
                <w:rFonts w:eastAsia="Times New Roman" w:cs="Calibri"/>
                <w:color w:val="000000"/>
                <w:sz w:val="20"/>
              </w:rPr>
              <w:t>(October-March)</w:t>
            </w:r>
            <w:r w:rsidRPr="00910410">
              <w:rPr>
                <w:rFonts w:eastAsia="Times New Roman" w:cs="Calibri"/>
                <w:color w:val="000000"/>
                <w:sz w:val="20"/>
              </w:rPr>
              <w:t>. Emissions</w:t>
            </w:r>
            <w:r w:rsidR="00286A7E" w:rsidRPr="00910410">
              <w:rPr>
                <w:rFonts w:eastAsia="Times New Roman" w:cs="Calibri"/>
                <w:color w:val="000000"/>
                <w:sz w:val="20"/>
              </w:rPr>
              <w:t xml:space="preserve"> are</w:t>
            </w:r>
            <w:r w:rsidRPr="00910410">
              <w:rPr>
                <w:rFonts w:eastAsia="Times New Roman" w:cs="Calibri"/>
                <w:color w:val="000000"/>
                <w:sz w:val="20"/>
              </w:rPr>
              <w:t xml:space="preserve"> collected during the night.</w:t>
            </w:r>
          </w:p>
        </w:tc>
        <w:tc>
          <w:tcPr>
            <w:tcW w:w="1080" w:type="dxa"/>
            <w:vAlign w:val="center"/>
          </w:tcPr>
          <w:p w14:paraId="34DAFAE7"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0</w:t>
            </w:r>
          </w:p>
        </w:tc>
        <w:tc>
          <w:tcPr>
            <w:tcW w:w="1251" w:type="dxa"/>
            <w:noWrap/>
            <w:vAlign w:val="center"/>
          </w:tcPr>
          <w:p w14:paraId="4FD84D5A" w14:textId="77777777" w:rsidR="006908EB" w:rsidRPr="006908EB" w:rsidRDefault="00847ECF" w:rsidP="00EA2711">
            <w:pPr>
              <w:keepNext/>
              <w:numPr>
                <w:ilvl w:val="0"/>
                <w:numId w:val="6"/>
              </w:numPr>
              <w:contextualSpacing/>
              <w:jc w:val="center"/>
              <w:outlineLvl w:val="0"/>
              <w:rPr>
                <w:rFonts w:eastAsia="Times New Roman" w:cs="Calibri"/>
                <w:color w:val="000000"/>
                <w:sz w:val="20"/>
                <w:szCs w:val="20"/>
              </w:rPr>
            </w:pPr>
            <w:r>
              <w:rPr>
                <w:rFonts w:eastAsia="Times New Roman" w:cs="Calibri"/>
                <w:color w:val="000000"/>
                <w:sz w:val="20"/>
                <w:szCs w:val="20"/>
              </w:rPr>
              <w:t>-</w:t>
            </w:r>
            <w:r w:rsidR="006908EB" w:rsidRPr="006908EB">
              <w:rPr>
                <w:rFonts w:eastAsia="Times New Roman" w:cs="Calibri"/>
                <w:color w:val="000000"/>
                <w:sz w:val="20"/>
                <w:szCs w:val="20"/>
              </w:rPr>
              <w:t>65%</w:t>
            </w:r>
          </w:p>
        </w:tc>
        <w:tc>
          <w:tcPr>
            <w:tcW w:w="863" w:type="dxa"/>
            <w:noWrap/>
            <w:vAlign w:val="center"/>
          </w:tcPr>
          <w:p w14:paraId="381C62F1" w14:textId="77777777" w:rsidR="006908EB" w:rsidRPr="006908EB" w:rsidRDefault="00847ECF" w:rsidP="00EA2711">
            <w:pPr>
              <w:keepNext/>
              <w:numPr>
                <w:ilvl w:val="0"/>
                <w:numId w:val="6"/>
              </w:numPr>
              <w:contextualSpacing/>
              <w:jc w:val="center"/>
              <w:outlineLvl w:val="0"/>
              <w:rPr>
                <w:rFonts w:eastAsia="Times New Roman" w:cs="Calibri"/>
                <w:color w:val="000000"/>
                <w:sz w:val="20"/>
                <w:szCs w:val="20"/>
              </w:rPr>
            </w:pPr>
            <w:r>
              <w:rPr>
                <w:rFonts w:eastAsia="Times New Roman" w:cs="Calibri"/>
                <w:color w:val="000000"/>
                <w:sz w:val="20"/>
                <w:szCs w:val="20"/>
              </w:rPr>
              <w:t>-</w:t>
            </w:r>
            <w:r w:rsidR="006908EB" w:rsidRPr="006908EB">
              <w:rPr>
                <w:rFonts w:eastAsia="Times New Roman" w:cs="Calibri"/>
                <w:color w:val="000000"/>
                <w:sz w:val="20"/>
                <w:szCs w:val="20"/>
              </w:rPr>
              <w:t>86%</w:t>
            </w:r>
          </w:p>
        </w:tc>
        <w:tc>
          <w:tcPr>
            <w:tcW w:w="1098" w:type="dxa"/>
            <w:noWrap/>
            <w:vAlign w:val="center"/>
          </w:tcPr>
          <w:p w14:paraId="340C8AF2"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76%</w:t>
            </w:r>
          </w:p>
        </w:tc>
      </w:tr>
      <w:tr w:rsidR="006908EB" w:rsidRPr="006908EB" w14:paraId="3D2D61B4" w14:textId="77777777" w:rsidTr="00792FC6">
        <w:trPr>
          <w:trHeight w:val="300"/>
        </w:trPr>
        <w:tc>
          <w:tcPr>
            <w:tcW w:w="1938" w:type="dxa"/>
            <w:noWrap/>
            <w:vAlign w:val="center"/>
          </w:tcPr>
          <w:p w14:paraId="5CFDF5CA" w14:textId="77777777" w:rsidR="006908EB" w:rsidRPr="001C559A" w:rsidRDefault="006908EB" w:rsidP="006908EB">
            <w:pPr>
              <w:keepNext/>
              <w:numPr>
                <w:ilvl w:val="0"/>
                <w:numId w:val="6"/>
              </w:numPr>
              <w:contextualSpacing/>
              <w:outlineLvl w:val="0"/>
              <w:rPr>
                <w:rFonts w:eastAsia="Times New Roman" w:cs="Times New Roman"/>
                <w:b/>
                <w:color w:val="000000"/>
                <w:sz w:val="20"/>
                <w:szCs w:val="20"/>
              </w:rPr>
            </w:pPr>
            <w:r w:rsidRPr="001C559A">
              <w:rPr>
                <w:rFonts w:eastAsia="Times New Roman" w:cs="Times New Roman"/>
                <w:b/>
                <w:color w:val="000000"/>
                <w:sz w:val="20"/>
                <w:szCs w:val="20"/>
              </w:rPr>
              <w:lastRenderedPageBreak/>
              <w:t>Percent reduction in median fuel costs</w:t>
            </w:r>
            <w:r w:rsidR="00E956D4">
              <w:rPr>
                <w:rStyle w:val="FootnoteReference"/>
                <w:rFonts w:eastAsia="Times New Roman" w:cs="Times New Roman"/>
                <w:b/>
                <w:color w:val="000000"/>
                <w:sz w:val="20"/>
                <w:szCs w:val="20"/>
              </w:rPr>
              <w:footnoteReference w:id="5"/>
            </w:r>
          </w:p>
        </w:tc>
        <w:tc>
          <w:tcPr>
            <w:tcW w:w="4177" w:type="dxa"/>
            <w:vAlign w:val="center"/>
          </w:tcPr>
          <w:p w14:paraId="15CB411E" w14:textId="77777777" w:rsidR="006908EB" w:rsidRPr="006908EB" w:rsidRDefault="006908EB" w:rsidP="00286A7E">
            <w:pPr>
              <w:keepNext/>
              <w:numPr>
                <w:ilvl w:val="0"/>
                <w:numId w:val="6"/>
              </w:numPr>
              <w:contextualSpacing/>
              <w:outlineLvl w:val="0"/>
              <w:rPr>
                <w:rFonts w:eastAsia="Times New Roman" w:cs="Calibri"/>
                <w:color w:val="000000"/>
                <w:sz w:val="20"/>
                <w:szCs w:val="20"/>
              </w:rPr>
            </w:pPr>
            <w:r w:rsidRPr="006908EB">
              <w:rPr>
                <w:rFonts w:eastAsia="Times New Roman" w:cs="Calibri"/>
                <w:color w:val="000000"/>
                <w:sz w:val="20"/>
                <w:szCs w:val="20"/>
              </w:rPr>
              <w:t>This indicator measure</w:t>
            </w:r>
            <w:r w:rsidR="00286A7E">
              <w:rPr>
                <w:rFonts w:eastAsia="Times New Roman" w:cs="Calibri"/>
                <w:color w:val="000000"/>
                <w:sz w:val="20"/>
                <w:szCs w:val="20"/>
              </w:rPr>
              <w:t>s</w:t>
            </w:r>
            <w:r w:rsidRPr="006908EB">
              <w:rPr>
                <w:rFonts w:eastAsia="Times New Roman" w:cs="Calibri"/>
                <w:color w:val="000000"/>
                <w:sz w:val="20"/>
                <w:szCs w:val="20"/>
              </w:rPr>
              <w:t xml:space="preserve"> the difference in median fuel costs between households with project stoves and households without project stoves.</w:t>
            </w:r>
          </w:p>
        </w:tc>
        <w:tc>
          <w:tcPr>
            <w:tcW w:w="1080" w:type="dxa"/>
            <w:vAlign w:val="center"/>
          </w:tcPr>
          <w:p w14:paraId="318DE39B"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0</w:t>
            </w:r>
          </w:p>
        </w:tc>
        <w:tc>
          <w:tcPr>
            <w:tcW w:w="1251" w:type="dxa"/>
            <w:noWrap/>
            <w:vAlign w:val="center"/>
          </w:tcPr>
          <w:p w14:paraId="2B6184A1" w14:textId="77777777" w:rsidR="006908EB" w:rsidRPr="006908EB" w:rsidRDefault="00847ECF" w:rsidP="00E956D4">
            <w:pPr>
              <w:keepNext/>
              <w:numPr>
                <w:ilvl w:val="0"/>
                <w:numId w:val="6"/>
              </w:numPr>
              <w:contextualSpacing/>
              <w:jc w:val="center"/>
              <w:outlineLvl w:val="0"/>
              <w:rPr>
                <w:rFonts w:eastAsia="Times New Roman" w:cs="Calibri"/>
                <w:color w:val="000000"/>
                <w:sz w:val="20"/>
                <w:szCs w:val="20"/>
              </w:rPr>
            </w:pPr>
            <w:r>
              <w:rPr>
                <w:rFonts w:eastAsia="Times New Roman" w:cs="Calibri"/>
                <w:color w:val="000000"/>
                <w:sz w:val="20"/>
                <w:szCs w:val="20"/>
              </w:rPr>
              <w:t>-</w:t>
            </w:r>
            <w:r w:rsidR="006908EB" w:rsidRPr="006908EB">
              <w:rPr>
                <w:rFonts w:eastAsia="Times New Roman" w:cs="Calibri"/>
                <w:color w:val="000000"/>
                <w:sz w:val="20"/>
                <w:szCs w:val="20"/>
              </w:rPr>
              <w:t>7%</w:t>
            </w:r>
          </w:p>
        </w:tc>
        <w:tc>
          <w:tcPr>
            <w:tcW w:w="863" w:type="dxa"/>
            <w:noWrap/>
            <w:vAlign w:val="center"/>
          </w:tcPr>
          <w:p w14:paraId="5729EDBA" w14:textId="77777777" w:rsidR="006908EB" w:rsidRPr="006908EB" w:rsidRDefault="00847ECF" w:rsidP="00EA2711">
            <w:pPr>
              <w:keepNext/>
              <w:numPr>
                <w:ilvl w:val="0"/>
                <w:numId w:val="6"/>
              </w:numPr>
              <w:contextualSpacing/>
              <w:jc w:val="center"/>
              <w:outlineLvl w:val="0"/>
              <w:rPr>
                <w:rFonts w:eastAsia="Times New Roman" w:cs="Calibri"/>
                <w:color w:val="000000"/>
                <w:sz w:val="20"/>
                <w:szCs w:val="20"/>
              </w:rPr>
            </w:pPr>
            <w:r>
              <w:rPr>
                <w:rFonts w:eastAsia="Times New Roman" w:cs="Calibri"/>
                <w:color w:val="000000"/>
                <w:sz w:val="20"/>
                <w:szCs w:val="20"/>
              </w:rPr>
              <w:t>-</w:t>
            </w:r>
            <w:r w:rsidR="006908EB" w:rsidRPr="006908EB">
              <w:rPr>
                <w:rFonts w:eastAsia="Times New Roman" w:cs="Calibri"/>
                <w:color w:val="000000"/>
                <w:sz w:val="20"/>
                <w:szCs w:val="20"/>
              </w:rPr>
              <w:t>15%</w:t>
            </w:r>
          </w:p>
        </w:tc>
        <w:tc>
          <w:tcPr>
            <w:tcW w:w="1098" w:type="dxa"/>
            <w:noWrap/>
            <w:vAlign w:val="center"/>
          </w:tcPr>
          <w:p w14:paraId="7E91DF38"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47%</w:t>
            </w:r>
          </w:p>
        </w:tc>
      </w:tr>
      <w:tr w:rsidR="006908EB" w:rsidRPr="006908EB" w14:paraId="2FEBF00B" w14:textId="77777777" w:rsidTr="00792FC6">
        <w:trPr>
          <w:trHeight w:val="300"/>
        </w:trPr>
        <w:tc>
          <w:tcPr>
            <w:tcW w:w="1938" w:type="dxa"/>
            <w:noWrap/>
            <w:vAlign w:val="center"/>
          </w:tcPr>
          <w:p w14:paraId="110A01B2" w14:textId="77777777" w:rsidR="006908EB" w:rsidRPr="001C559A" w:rsidRDefault="006908EB" w:rsidP="00E956D4">
            <w:pPr>
              <w:keepNext/>
              <w:numPr>
                <w:ilvl w:val="0"/>
                <w:numId w:val="6"/>
              </w:numPr>
              <w:contextualSpacing/>
              <w:outlineLvl w:val="0"/>
              <w:rPr>
                <w:rFonts w:eastAsia="Times New Roman" w:cs="Calibri"/>
                <w:b/>
                <w:color w:val="000000"/>
                <w:sz w:val="20"/>
                <w:szCs w:val="20"/>
              </w:rPr>
            </w:pPr>
            <w:r w:rsidRPr="001C559A">
              <w:rPr>
                <w:rFonts w:eastAsia="Times New Roman" w:cs="Calibri"/>
                <w:b/>
                <w:color w:val="000000"/>
                <w:sz w:val="20"/>
                <w:szCs w:val="20"/>
              </w:rPr>
              <w:t>Carbon monoxide concentration in project households (ppm)</w:t>
            </w:r>
            <w:r w:rsidR="00E956D4" w:rsidRPr="00E956D4">
              <w:rPr>
                <w:rStyle w:val="FootnoteReference"/>
              </w:rPr>
              <w:t>5</w:t>
            </w:r>
            <w:r w:rsidR="00E956D4">
              <w:rPr>
                <w:rFonts w:eastAsia="Times New Roman" w:cs="Calibri"/>
                <w:b/>
                <w:color w:val="000000"/>
                <w:sz w:val="20"/>
                <w:szCs w:val="20"/>
              </w:rPr>
              <w:t xml:space="preserve"> </w:t>
            </w:r>
            <w:r w:rsidR="00E956D4" w:rsidRPr="00E956D4">
              <w:rPr>
                <w:rStyle w:val="FootnoteReference"/>
              </w:rPr>
              <w:t xml:space="preserve">and </w:t>
            </w:r>
            <w:r w:rsidR="00E13C47" w:rsidRPr="00E13C47">
              <w:rPr>
                <w:rStyle w:val="FootnoteReference"/>
                <w:rFonts w:eastAsia="Times New Roman" w:cs="Calibri"/>
                <w:color w:val="000000"/>
                <w:sz w:val="20"/>
                <w:szCs w:val="20"/>
              </w:rPr>
              <w:footnoteReference w:id="6"/>
            </w:r>
            <w:r w:rsidR="00E956D4">
              <w:rPr>
                <w:rFonts w:eastAsia="Times New Roman" w:cs="Calibri"/>
                <w:b/>
                <w:color w:val="000000"/>
                <w:sz w:val="20"/>
                <w:szCs w:val="20"/>
              </w:rPr>
              <w:t xml:space="preserve"> </w:t>
            </w:r>
            <w:r w:rsidR="00E956D4" w:rsidRPr="00E956D4">
              <w:rPr>
                <w:rStyle w:val="FootnoteReference"/>
              </w:rPr>
              <w:t>and</w:t>
            </w:r>
            <w:r w:rsidR="00E956D4">
              <w:rPr>
                <w:rFonts w:eastAsia="Times New Roman" w:cs="Calibri"/>
                <w:b/>
                <w:color w:val="000000"/>
                <w:sz w:val="20"/>
                <w:szCs w:val="20"/>
              </w:rPr>
              <w:t xml:space="preserve"> </w:t>
            </w:r>
            <w:r w:rsidR="00E956D4">
              <w:rPr>
                <w:rStyle w:val="FootnoteReference"/>
                <w:rFonts w:eastAsia="Times New Roman" w:cs="Calibri"/>
                <w:b/>
                <w:color w:val="000000"/>
                <w:sz w:val="20"/>
                <w:szCs w:val="20"/>
              </w:rPr>
              <w:footnoteReference w:id="7"/>
            </w:r>
          </w:p>
        </w:tc>
        <w:tc>
          <w:tcPr>
            <w:tcW w:w="4177" w:type="dxa"/>
            <w:vAlign w:val="center"/>
          </w:tcPr>
          <w:p w14:paraId="47EFD232" w14:textId="77777777" w:rsidR="006908EB" w:rsidRPr="006908EB" w:rsidRDefault="006908EB" w:rsidP="006908EB">
            <w:pPr>
              <w:keepNext/>
              <w:numPr>
                <w:ilvl w:val="0"/>
                <w:numId w:val="6"/>
              </w:numPr>
              <w:contextualSpacing/>
              <w:outlineLvl w:val="0"/>
              <w:rPr>
                <w:rFonts w:eastAsia="Times New Roman" w:cs="Calibri"/>
                <w:color w:val="000000"/>
                <w:sz w:val="20"/>
                <w:szCs w:val="20"/>
              </w:rPr>
            </w:pPr>
            <w:r w:rsidRPr="006908EB">
              <w:rPr>
                <w:rFonts w:eastAsia="Times New Roman" w:cs="Calibri"/>
                <w:color w:val="000000"/>
                <w:sz w:val="20"/>
                <w:szCs w:val="20"/>
              </w:rPr>
              <w:t>Average short-term indoor carbon monoxide (CO) concentration in project households. This is tracked to ensure that project stoves do not result in a higher concentration of CO relative to the traditional stoves.</w:t>
            </w:r>
          </w:p>
        </w:tc>
        <w:tc>
          <w:tcPr>
            <w:tcW w:w="1080" w:type="dxa"/>
            <w:vAlign w:val="center"/>
          </w:tcPr>
          <w:p w14:paraId="565F9B69"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4.5 ppm</w:t>
            </w:r>
          </w:p>
        </w:tc>
        <w:tc>
          <w:tcPr>
            <w:tcW w:w="1251" w:type="dxa"/>
            <w:noWrap/>
            <w:vAlign w:val="center"/>
          </w:tcPr>
          <w:p w14:paraId="2CD9DD6B" w14:textId="77777777" w:rsidR="006908EB" w:rsidRPr="006908EB" w:rsidRDefault="006908EB" w:rsidP="00C35DEA">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3.6 ppm</w:t>
            </w:r>
          </w:p>
        </w:tc>
        <w:tc>
          <w:tcPr>
            <w:tcW w:w="863" w:type="dxa"/>
            <w:noWrap/>
            <w:vAlign w:val="center"/>
          </w:tcPr>
          <w:p w14:paraId="3D101648" w14:textId="77777777" w:rsidR="006908EB" w:rsidRPr="006908EB" w:rsidRDefault="006908EB" w:rsidP="00E13C47">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4.5 ppm</w:t>
            </w:r>
          </w:p>
        </w:tc>
        <w:tc>
          <w:tcPr>
            <w:tcW w:w="1098" w:type="dxa"/>
            <w:noWrap/>
            <w:vAlign w:val="center"/>
          </w:tcPr>
          <w:p w14:paraId="2D339BC7" w14:textId="77777777" w:rsidR="006908EB" w:rsidRPr="006908EB" w:rsidRDefault="0093240A" w:rsidP="002C2FF6">
            <w:pPr>
              <w:keepNext/>
              <w:numPr>
                <w:ilvl w:val="0"/>
                <w:numId w:val="6"/>
              </w:numPr>
              <w:contextualSpacing/>
              <w:jc w:val="center"/>
              <w:outlineLvl w:val="0"/>
              <w:rPr>
                <w:rFonts w:eastAsia="Times New Roman" w:cs="Calibri"/>
                <w:color w:val="000000"/>
                <w:sz w:val="20"/>
                <w:szCs w:val="20"/>
              </w:rPr>
            </w:pPr>
            <w:r>
              <w:rPr>
                <w:rFonts w:eastAsia="Times New Roman" w:cs="Calibri"/>
                <w:color w:val="000000"/>
                <w:sz w:val="20"/>
                <w:szCs w:val="20"/>
              </w:rPr>
              <w:t>120%</w:t>
            </w:r>
          </w:p>
        </w:tc>
      </w:tr>
      <w:tr w:rsidR="006908EB" w:rsidRPr="006908EB" w14:paraId="38BB6394" w14:textId="77777777" w:rsidTr="00792FC6">
        <w:trPr>
          <w:trHeight w:val="300"/>
        </w:trPr>
        <w:tc>
          <w:tcPr>
            <w:tcW w:w="1938" w:type="dxa"/>
            <w:noWrap/>
            <w:vAlign w:val="center"/>
          </w:tcPr>
          <w:p w14:paraId="0964AC2B" w14:textId="77777777" w:rsidR="006908EB" w:rsidRPr="001C559A" w:rsidRDefault="006908EB" w:rsidP="006908EB">
            <w:pPr>
              <w:keepNext/>
              <w:numPr>
                <w:ilvl w:val="0"/>
                <w:numId w:val="6"/>
              </w:numPr>
              <w:contextualSpacing/>
              <w:outlineLvl w:val="0"/>
              <w:rPr>
                <w:rFonts w:eastAsia="Times New Roman" w:cs="Calibri"/>
                <w:b/>
                <w:color w:val="000000"/>
                <w:sz w:val="20"/>
                <w:szCs w:val="20"/>
                <w:highlight w:val="yellow"/>
              </w:rPr>
            </w:pPr>
            <w:r w:rsidRPr="001C559A">
              <w:rPr>
                <w:rFonts w:eastAsia="Times New Roman" w:cs="Calibri"/>
                <w:b/>
                <w:color w:val="000000"/>
                <w:sz w:val="20"/>
                <w:szCs w:val="20"/>
              </w:rPr>
              <w:t>PM</w:t>
            </w:r>
            <w:r w:rsidRPr="00E956D4">
              <w:rPr>
                <w:rFonts w:eastAsia="Times New Roman" w:cs="Calibri"/>
                <w:b/>
                <w:color w:val="000000"/>
                <w:sz w:val="20"/>
                <w:szCs w:val="20"/>
                <w:vertAlign w:val="subscript"/>
              </w:rPr>
              <w:t>2.5</w:t>
            </w:r>
            <w:r w:rsidRPr="001C559A">
              <w:rPr>
                <w:rFonts w:eastAsia="Times New Roman" w:cs="Calibri"/>
                <w:b/>
                <w:color w:val="000000"/>
                <w:sz w:val="20"/>
                <w:szCs w:val="20"/>
              </w:rPr>
              <w:t xml:space="preserve"> concentration in project homes (mi</w:t>
            </w:r>
            <w:r w:rsidR="006D30A6">
              <w:rPr>
                <w:rFonts w:eastAsia="Times New Roman" w:cs="Calibri"/>
                <w:b/>
                <w:color w:val="000000"/>
                <w:sz w:val="20"/>
                <w:szCs w:val="20"/>
              </w:rPr>
              <w:t>lli</w:t>
            </w:r>
            <w:r w:rsidRPr="001C559A">
              <w:rPr>
                <w:rFonts w:eastAsia="Times New Roman" w:cs="Calibri"/>
                <w:b/>
                <w:color w:val="000000"/>
                <w:sz w:val="20"/>
                <w:szCs w:val="20"/>
              </w:rPr>
              <w:t>grams per cubic meter)</w:t>
            </w:r>
            <w:r w:rsidR="00E13C47" w:rsidRPr="0093240A">
              <w:rPr>
                <w:rStyle w:val="FootnoteReference"/>
              </w:rPr>
              <w:footnoteReference w:id="8"/>
            </w:r>
            <w:r w:rsidR="00E956D4" w:rsidRPr="0093240A">
              <w:rPr>
                <w:rStyle w:val="FootnoteReference"/>
              </w:rPr>
              <w:t xml:space="preserve"> and </w:t>
            </w:r>
            <w:r w:rsidR="00E956D4" w:rsidRPr="0093240A">
              <w:rPr>
                <w:rStyle w:val="FootnoteReference"/>
              </w:rPr>
              <w:footnoteReference w:id="9"/>
            </w:r>
          </w:p>
        </w:tc>
        <w:tc>
          <w:tcPr>
            <w:tcW w:w="4177" w:type="dxa"/>
            <w:vAlign w:val="center"/>
          </w:tcPr>
          <w:p w14:paraId="762D9CBF" w14:textId="77777777" w:rsidR="006908EB" w:rsidRPr="006908EB" w:rsidRDefault="006908EB" w:rsidP="006908EB">
            <w:pPr>
              <w:keepNext/>
              <w:numPr>
                <w:ilvl w:val="0"/>
                <w:numId w:val="6"/>
              </w:numPr>
              <w:contextualSpacing/>
              <w:outlineLvl w:val="0"/>
              <w:rPr>
                <w:rFonts w:eastAsia="Times New Roman" w:cs="Calibri"/>
                <w:color w:val="000000"/>
                <w:sz w:val="20"/>
                <w:szCs w:val="20"/>
              </w:rPr>
            </w:pPr>
            <w:r w:rsidRPr="006908EB">
              <w:rPr>
                <w:rFonts w:eastAsia="Times New Roman" w:cs="Calibri"/>
                <w:color w:val="000000"/>
                <w:sz w:val="20"/>
                <w:szCs w:val="20"/>
              </w:rPr>
              <w:t>Average short-term indoor PM</w:t>
            </w:r>
            <w:r w:rsidRPr="00E956D4">
              <w:rPr>
                <w:rFonts w:eastAsia="Times New Roman" w:cs="Calibri"/>
                <w:color w:val="000000"/>
                <w:sz w:val="20"/>
                <w:szCs w:val="20"/>
                <w:vertAlign w:val="subscript"/>
              </w:rPr>
              <w:t>2.5</w:t>
            </w:r>
            <w:r w:rsidRPr="006908EB">
              <w:rPr>
                <w:rFonts w:eastAsia="Times New Roman" w:cs="Calibri"/>
                <w:color w:val="000000"/>
                <w:sz w:val="20"/>
                <w:szCs w:val="20"/>
              </w:rPr>
              <w:t xml:space="preserve"> concentration in project households. This is tracked to ensure that project stoves do not result in a higher concentration of PM2.5 relative to traditional stoves.</w:t>
            </w:r>
          </w:p>
        </w:tc>
        <w:tc>
          <w:tcPr>
            <w:tcW w:w="1080" w:type="dxa"/>
            <w:vAlign w:val="center"/>
          </w:tcPr>
          <w:p w14:paraId="4EE35541" w14:textId="77777777" w:rsidR="006908EB" w:rsidRPr="006908EB" w:rsidRDefault="006F1877" w:rsidP="00EA2711">
            <w:pPr>
              <w:keepNext/>
              <w:numPr>
                <w:ilvl w:val="0"/>
                <w:numId w:val="6"/>
              </w:numPr>
              <w:contextualSpacing/>
              <w:jc w:val="center"/>
              <w:outlineLvl w:val="0"/>
              <w:rPr>
                <w:rFonts w:eastAsia="Times New Roman" w:cs="Calibri"/>
                <w:i/>
                <w:iCs/>
                <w:color w:val="000000"/>
                <w:sz w:val="20"/>
                <w:szCs w:val="20"/>
              </w:rPr>
            </w:pPr>
            <w:r>
              <w:rPr>
                <w:rFonts w:eastAsia="Times New Roman" w:cs="Calibri"/>
                <w:color w:val="000000"/>
                <w:sz w:val="20"/>
                <w:szCs w:val="20"/>
              </w:rPr>
              <w:t>0.16m</w:t>
            </w:r>
            <w:r w:rsidR="006908EB" w:rsidRPr="006908EB">
              <w:rPr>
                <w:rFonts w:eastAsia="Times New Roman" w:cs="Calibri"/>
                <w:color w:val="000000"/>
                <w:sz w:val="20"/>
                <w:szCs w:val="20"/>
              </w:rPr>
              <w:t>g</w:t>
            </w:r>
            <w:r w:rsidR="00E956D4">
              <w:rPr>
                <w:rFonts w:eastAsia="Times New Roman" w:cs="Calibri"/>
                <w:color w:val="000000"/>
                <w:sz w:val="20"/>
                <w:szCs w:val="20"/>
              </w:rPr>
              <w:t xml:space="preserve"> </w:t>
            </w:r>
            <w:r w:rsidR="006908EB" w:rsidRPr="006908EB">
              <w:rPr>
                <w:rFonts w:eastAsia="Times New Roman" w:cs="Calibri"/>
                <w:color w:val="000000"/>
                <w:sz w:val="20"/>
                <w:szCs w:val="20"/>
              </w:rPr>
              <w:t>/m</w:t>
            </w:r>
            <w:r w:rsidR="006908EB" w:rsidRPr="006908EB">
              <w:rPr>
                <w:rFonts w:eastAsia="Times New Roman" w:cs="Calibri"/>
                <w:color w:val="000000"/>
                <w:sz w:val="20"/>
                <w:szCs w:val="20"/>
                <w:vertAlign w:val="superscript"/>
              </w:rPr>
              <w:t>3</w:t>
            </w:r>
          </w:p>
        </w:tc>
        <w:tc>
          <w:tcPr>
            <w:tcW w:w="1251" w:type="dxa"/>
            <w:noWrap/>
            <w:vAlign w:val="center"/>
          </w:tcPr>
          <w:p w14:paraId="024A80D9" w14:textId="77777777" w:rsidR="006908EB" w:rsidRPr="006908EB" w:rsidRDefault="006F1877" w:rsidP="00C35DEA">
            <w:pPr>
              <w:keepNext/>
              <w:numPr>
                <w:ilvl w:val="0"/>
                <w:numId w:val="6"/>
              </w:numPr>
              <w:contextualSpacing/>
              <w:jc w:val="center"/>
              <w:outlineLvl w:val="0"/>
              <w:rPr>
                <w:rFonts w:eastAsia="Times New Roman" w:cs="Calibri"/>
                <w:i/>
                <w:iCs/>
                <w:color w:val="000000"/>
                <w:sz w:val="20"/>
                <w:szCs w:val="20"/>
              </w:rPr>
            </w:pPr>
            <w:r>
              <w:rPr>
                <w:rFonts w:eastAsia="Times New Roman" w:cs="Calibri"/>
                <w:color w:val="000000"/>
                <w:sz w:val="20"/>
                <w:szCs w:val="20"/>
              </w:rPr>
              <w:t>0.16m</w:t>
            </w:r>
            <w:r w:rsidR="006908EB" w:rsidRPr="006908EB">
              <w:rPr>
                <w:rFonts w:eastAsia="Times New Roman" w:cs="Calibri"/>
                <w:color w:val="000000"/>
                <w:sz w:val="20"/>
                <w:szCs w:val="20"/>
              </w:rPr>
              <w:t>g</w:t>
            </w:r>
            <w:r w:rsidR="00E956D4">
              <w:rPr>
                <w:rFonts w:eastAsia="Times New Roman" w:cs="Calibri"/>
                <w:color w:val="000000"/>
                <w:sz w:val="20"/>
                <w:szCs w:val="20"/>
              </w:rPr>
              <w:t xml:space="preserve"> </w:t>
            </w:r>
            <w:r w:rsidR="006908EB" w:rsidRPr="006908EB">
              <w:rPr>
                <w:rFonts w:eastAsia="Times New Roman" w:cs="Calibri"/>
                <w:color w:val="000000"/>
                <w:sz w:val="20"/>
                <w:szCs w:val="20"/>
              </w:rPr>
              <w:t>/m</w:t>
            </w:r>
            <w:r w:rsidR="006908EB" w:rsidRPr="006908EB">
              <w:rPr>
                <w:rFonts w:eastAsia="Times New Roman" w:cs="Calibri"/>
                <w:color w:val="000000"/>
                <w:sz w:val="20"/>
                <w:szCs w:val="20"/>
                <w:vertAlign w:val="superscript"/>
              </w:rPr>
              <w:t>3</w:t>
            </w:r>
          </w:p>
        </w:tc>
        <w:tc>
          <w:tcPr>
            <w:tcW w:w="863" w:type="dxa"/>
            <w:noWrap/>
            <w:vAlign w:val="center"/>
          </w:tcPr>
          <w:p w14:paraId="7F3DBD53" w14:textId="77777777" w:rsidR="006908EB" w:rsidRPr="006908EB" w:rsidRDefault="006F1877" w:rsidP="00E13C47">
            <w:pPr>
              <w:keepNext/>
              <w:numPr>
                <w:ilvl w:val="0"/>
                <w:numId w:val="6"/>
              </w:numPr>
              <w:tabs>
                <w:tab w:val="left" w:pos="10440"/>
              </w:tabs>
              <w:contextualSpacing/>
              <w:jc w:val="center"/>
              <w:outlineLvl w:val="0"/>
              <w:rPr>
                <w:rFonts w:eastAsia="Times New Roman" w:cs="Calibri"/>
                <w:i/>
                <w:iCs/>
                <w:color w:val="000000"/>
                <w:sz w:val="20"/>
                <w:szCs w:val="20"/>
              </w:rPr>
            </w:pPr>
            <w:r>
              <w:rPr>
                <w:rFonts w:eastAsia="Times New Roman" w:cs="Calibri"/>
                <w:color w:val="000000"/>
                <w:sz w:val="20"/>
                <w:szCs w:val="20"/>
              </w:rPr>
              <w:t>0.16m</w:t>
            </w:r>
            <w:r w:rsidR="006908EB" w:rsidRPr="006908EB">
              <w:rPr>
                <w:rFonts w:eastAsia="Times New Roman" w:cs="Calibri"/>
                <w:color w:val="000000"/>
                <w:sz w:val="20"/>
                <w:szCs w:val="20"/>
              </w:rPr>
              <w:t>g/m</w:t>
            </w:r>
            <w:r w:rsidR="006908EB" w:rsidRPr="006908EB">
              <w:rPr>
                <w:rFonts w:eastAsia="Times New Roman" w:cs="Calibri"/>
                <w:color w:val="000000"/>
                <w:sz w:val="20"/>
                <w:szCs w:val="20"/>
                <w:vertAlign w:val="superscript"/>
              </w:rPr>
              <w:t>3</w:t>
            </w:r>
            <w:r w:rsidR="00847ECF">
              <w:rPr>
                <w:rFonts w:eastAsia="Times New Roman" w:cs="Calibri"/>
                <w:color w:val="000000"/>
                <w:sz w:val="20"/>
                <w:szCs w:val="20"/>
                <w:vertAlign w:val="superscript"/>
              </w:rPr>
              <w:t xml:space="preserve"> </w:t>
            </w:r>
          </w:p>
        </w:tc>
        <w:tc>
          <w:tcPr>
            <w:tcW w:w="1098" w:type="dxa"/>
            <w:noWrap/>
            <w:vAlign w:val="center"/>
          </w:tcPr>
          <w:p w14:paraId="7E9517B4" w14:textId="77777777" w:rsidR="006908EB" w:rsidRPr="006908EB" w:rsidRDefault="00E33316" w:rsidP="00E956D4">
            <w:pPr>
              <w:keepNext/>
              <w:numPr>
                <w:ilvl w:val="0"/>
                <w:numId w:val="6"/>
              </w:numPr>
              <w:contextualSpacing/>
              <w:jc w:val="center"/>
              <w:outlineLvl w:val="0"/>
              <w:rPr>
                <w:rFonts w:eastAsia="Times New Roman" w:cs="Calibri"/>
                <w:i/>
                <w:iCs/>
                <w:color w:val="000000"/>
                <w:sz w:val="20"/>
                <w:szCs w:val="20"/>
              </w:rPr>
            </w:pPr>
            <w:r>
              <w:rPr>
                <w:rFonts w:eastAsia="Times New Roman" w:cs="Calibri"/>
                <w:color w:val="000000"/>
                <w:sz w:val="20"/>
                <w:szCs w:val="20"/>
              </w:rPr>
              <w:t>100%</w:t>
            </w:r>
          </w:p>
        </w:tc>
      </w:tr>
      <w:tr w:rsidR="006908EB" w:rsidRPr="006908EB" w14:paraId="17092EDB" w14:textId="77777777" w:rsidTr="00792FC6">
        <w:trPr>
          <w:trHeight w:val="300"/>
        </w:trPr>
        <w:tc>
          <w:tcPr>
            <w:tcW w:w="1938" w:type="dxa"/>
            <w:noWrap/>
            <w:vAlign w:val="center"/>
          </w:tcPr>
          <w:p w14:paraId="07E8031B" w14:textId="77777777" w:rsidR="006908EB" w:rsidRPr="001C559A" w:rsidRDefault="006908EB" w:rsidP="006908EB">
            <w:pPr>
              <w:keepNext/>
              <w:numPr>
                <w:ilvl w:val="0"/>
                <w:numId w:val="6"/>
              </w:numPr>
              <w:contextualSpacing/>
              <w:outlineLvl w:val="0"/>
              <w:rPr>
                <w:rFonts w:eastAsia="Times New Roman" w:cs="Calibri"/>
                <w:b/>
                <w:color w:val="000000"/>
                <w:sz w:val="20"/>
                <w:szCs w:val="20"/>
                <w:highlight w:val="yellow"/>
              </w:rPr>
            </w:pPr>
            <w:r w:rsidRPr="001C559A">
              <w:rPr>
                <w:rFonts w:eastAsia="Times New Roman" w:cs="Calibri"/>
                <w:b/>
                <w:color w:val="000000"/>
                <w:sz w:val="20"/>
                <w:szCs w:val="20"/>
              </w:rPr>
              <w:t>Percent difference in raw coal consumption</w:t>
            </w:r>
            <w:r w:rsidR="00E956D4" w:rsidRPr="00E956D4">
              <w:rPr>
                <w:rStyle w:val="FootnoteReference"/>
              </w:rPr>
              <w:t>5</w:t>
            </w:r>
          </w:p>
        </w:tc>
        <w:tc>
          <w:tcPr>
            <w:tcW w:w="4177" w:type="dxa"/>
            <w:vAlign w:val="center"/>
          </w:tcPr>
          <w:p w14:paraId="6ACBCA38" w14:textId="77777777" w:rsidR="006908EB" w:rsidRPr="006908EB" w:rsidRDefault="006908EB" w:rsidP="00286A7E">
            <w:pPr>
              <w:keepNext/>
              <w:numPr>
                <w:ilvl w:val="0"/>
                <w:numId w:val="6"/>
              </w:numPr>
              <w:contextualSpacing/>
              <w:outlineLvl w:val="0"/>
              <w:rPr>
                <w:rFonts w:eastAsia="Times New Roman" w:cs="Calibri"/>
                <w:color w:val="000000"/>
                <w:sz w:val="20"/>
                <w:szCs w:val="20"/>
              </w:rPr>
            </w:pPr>
            <w:r w:rsidRPr="006908EB">
              <w:rPr>
                <w:rFonts w:eastAsia="Times New Roman" w:cs="Calibri"/>
                <w:color w:val="000000"/>
                <w:sz w:val="20"/>
                <w:szCs w:val="20"/>
              </w:rPr>
              <w:t xml:space="preserve">The average raw coal consumption for households with project stoves as compared to households without project stoves. </w:t>
            </w:r>
            <w:r w:rsidR="00286A7E" w:rsidRPr="00893705">
              <w:rPr>
                <w:rFonts w:eastAsia="Times New Roman" w:cs="Calibri"/>
                <w:i/>
                <w:color w:val="000000"/>
                <w:sz w:val="20"/>
                <w:szCs w:val="20"/>
              </w:rPr>
              <w:t xml:space="preserve">Note: </w:t>
            </w:r>
            <w:r w:rsidRPr="00893705">
              <w:rPr>
                <w:rFonts w:eastAsia="Times New Roman" w:cs="Calibri"/>
                <w:i/>
                <w:color w:val="000000"/>
                <w:sz w:val="20"/>
                <w:szCs w:val="20"/>
              </w:rPr>
              <w:t>This indicator relies on household respondents to measure their coal consumption over the heating season.</w:t>
            </w:r>
          </w:p>
        </w:tc>
        <w:tc>
          <w:tcPr>
            <w:tcW w:w="1080" w:type="dxa"/>
            <w:vAlign w:val="center"/>
          </w:tcPr>
          <w:p w14:paraId="2719B504"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rPr>
            </w:pPr>
            <w:r w:rsidRPr="006908EB">
              <w:rPr>
                <w:rFonts w:eastAsia="Times New Roman" w:cs="Calibri"/>
                <w:color w:val="000000"/>
                <w:sz w:val="20"/>
                <w:szCs w:val="20"/>
              </w:rPr>
              <w:t>0%</w:t>
            </w:r>
          </w:p>
        </w:tc>
        <w:tc>
          <w:tcPr>
            <w:tcW w:w="1251" w:type="dxa"/>
            <w:noWrap/>
            <w:vAlign w:val="center"/>
          </w:tcPr>
          <w:p w14:paraId="204218DF" w14:textId="77777777" w:rsidR="006908EB" w:rsidRPr="006908EB" w:rsidRDefault="00847ECF" w:rsidP="00FB0457">
            <w:pPr>
              <w:keepNext/>
              <w:numPr>
                <w:ilvl w:val="0"/>
                <w:numId w:val="6"/>
              </w:numPr>
              <w:contextualSpacing/>
              <w:jc w:val="center"/>
              <w:outlineLvl w:val="0"/>
              <w:rPr>
                <w:rFonts w:eastAsia="Times New Roman" w:cs="Calibri"/>
                <w:color w:val="000000"/>
                <w:sz w:val="20"/>
                <w:szCs w:val="20"/>
                <w:highlight w:val="yellow"/>
              </w:rPr>
            </w:pPr>
            <w:r>
              <w:rPr>
                <w:rFonts w:eastAsia="Times New Roman" w:cs="Calibri"/>
                <w:color w:val="000000"/>
                <w:sz w:val="20"/>
                <w:szCs w:val="20"/>
              </w:rPr>
              <w:t>-</w:t>
            </w:r>
            <w:r w:rsidR="006908EB" w:rsidRPr="006908EB">
              <w:rPr>
                <w:rFonts w:eastAsia="Times New Roman" w:cs="Calibri"/>
                <w:color w:val="000000"/>
                <w:sz w:val="20"/>
                <w:szCs w:val="20"/>
              </w:rPr>
              <w:t>1.2%</w:t>
            </w:r>
          </w:p>
        </w:tc>
        <w:tc>
          <w:tcPr>
            <w:tcW w:w="863" w:type="dxa"/>
            <w:noWrap/>
            <w:vAlign w:val="center"/>
          </w:tcPr>
          <w:p w14:paraId="22C0E241" w14:textId="77777777" w:rsidR="006908EB" w:rsidRPr="006908EB" w:rsidRDefault="00847ECF" w:rsidP="00EA2711">
            <w:pPr>
              <w:keepNext/>
              <w:numPr>
                <w:ilvl w:val="0"/>
                <w:numId w:val="6"/>
              </w:numPr>
              <w:contextualSpacing/>
              <w:jc w:val="center"/>
              <w:outlineLvl w:val="0"/>
              <w:rPr>
                <w:rFonts w:eastAsia="Times New Roman" w:cs="Calibri"/>
                <w:color w:val="000000"/>
                <w:sz w:val="20"/>
                <w:szCs w:val="20"/>
                <w:highlight w:val="yellow"/>
              </w:rPr>
            </w:pPr>
            <w:r>
              <w:rPr>
                <w:rFonts w:eastAsia="Times New Roman" w:cs="Calibri"/>
                <w:color w:val="000000"/>
                <w:sz w:val="20"/>
                <w:szCs w:val="20"/>
              </w:rPr>
              <w:t>-</w:t>
            </w:r>
            <w:r w:rsidR="006908EB" w:rsidRPr="006908EB">
              <w:rPr>
                <w:rFonts w:eastAsia="Times New Roman" w:cs="Calibri"/>
                <w:color w:val="000000"/>
                <w:sz w:val="20"/>
                <w:szCs w:val="20"/>
              </w:rPr>
              <w:t>15%</w:t>
            </w:r>
          </w:p>
        </w:tc>
        <w:tc>
          <w:tcPr>
            <w:tcW w:w="1098" w:type="dxa"/>
            <w:noWrap/>
            <w:vAlign w:val="center"/>
          </w:tcPr>
          <w:p w14:paraId="5CB496C7" w14:textId="77777777" w:rsidR="006908EB" w:rsidRPr="006908EB" w:rsidRDefault="006908EB" w:rsidP="00EA2711">
            <w:pPr>
              <w:keepNext/>
              <w:numPr>
                <w:ilvl w:val="0"/>
                <w:numId w:val="6"/>
              </w:numPr>
              <w:contextualSpacing/>
              <w:jc w:val="center"/>
              <w:outlineLvl w:val="0"/>
              <w:rPr>
                <w:rFonts w:eastAsia="Times New Roman" w:cs="Calibri"/>
                <w:color w:val="000000"/>
                <w:sz w:val="20"/>
                <w:szCs w:val="20"/>
                <w:highlight w:val="yellow"/>
              </w:rPr>
            </w:pPr>
            <w:r w:rsidRPr="006908EB">
              <w:rPr>
                <w:rFonts w:eastAsia="Times New Roman" w:cs="Calibri"/>
                <w:color w:val="000000"/>
                <w:sz w:val="20"/>
                <w:szCs w:val="20"/>
              </w:rPr>
              <w:t>8%</w:t>
            </w:r>
          </w:p>
        </w:tc>
      </w:tr>
    </w:tbl>
    <w:tbl>
      <w:tblPr>
        <w:tblStyle w:val="TableGrid1"/>
        <w:tblW w:w="9850" w:type="dxa"/>
        <w:jc w:val="center"/>
        <w:tblLayout w:type="fixed"/>
        <w:tblLook w:val="04A0" w:firstRow="1" w:lastRow="0" w:firstColumn="1" w:lastColumn="0" w:noHBand="0" w:noVBand="1"/>
      </w:tblPr>
      <w:tblGrid>
        <w:gridCol w:w="1975"/>
        <w:gridCol w:w="3836"/>
        <w:gridCol w:w="990"/>
        <w:gridCol w:w="1080"/>
        <w:gridCol w:w="810"/>
        <w:gridCol w:w="1159"/>
      </w:tblGrid>
      <w:tr w:rsidR="006908EB" w:rsidRPr="006908EB" w14:paraId="10D8FE8F" w14:textId="77777777" w:rsidTr="00792FC6">
        <w:trPr>
          <w:trHeight w:val="469"/>
          <w:jc w:val="center"/>
        </w:trPr>
        <w:tc>
          <w:tcPr>
            <w:tcW w:w="1975" w:type="dxa"/>
            <w:shd w:val="clear" w:color="auto" w:fill="BDD6EE" w:themeFill="accent1" w:themeFillTint="66"/>
            <w:vAlign w:val="center"/>
          </w:tcPr>
          <w:p w14:paraId="565743E0" w14:textId="77777777" w:rsidR="006908EB" w:rsidRPr="006908EB" w:rsidRDefault="006908EB" w:rsidP="006908EB">
            <w:pPr>
              <w:keepNext/>
              <w:tabs>
                <w:tab w:val="num" w:pos="0"/>
              </w:tabs>
              <w:contextualSpacing/>
              <w:outlineLvl w:val="0"/>
              <w:rPr>
                <w:rFonts w:eastAsia="Times New Roman" w:cs="Calibri"/>
                <w:b/>
                <w:bCs/>
                <w:color w:val="000000"/>
                <w:sz w:val="20"/>
                <w:szCs w:val="20"/>
              </w:rPr>
            </w:pPr>
            <w:r w:rsidRPr="006908EB">
              <w:rPr>
                <w:rFonts w:eastAsia="Times New Roman" w:cs="Calibri"/>
                <w:b/>
                <w:sz w:val="20"/>
                <w:szCs w:val="20"/>
              </w:rPr>
              <w:br w:type="page"/>
              <w:t xml:space="preserve">Output </w:t>
            </w:r>
            <w:r w:rsidRPr="006908EB">
              <w:rPr>
                <w:rFonts w:eastAsia="Times New Roman" w:cs="Calibri"/>
                <w:b/>
                <w:bCs/>
                <w:color w:val="000000"/>
                <w:sz w:val="20"/>
                <w:szCs w:val="20"/>
              </w:rPr>
              <w:t>Indicators</w:t>
            </w:r>
          </w:p>
        </w:tc>
        <w:tc>
          <w:tcPr>
            <w:tcW w:w="3836" w:type="dxa"/>
            <w:shd w:val="clear" w:color="auto" w:fill="BDD6EE" w:themeFill="accent1" w:themeFillTint="66"/>
            <w:vAlign w:val="center"/>
          </w:tcPr>
          <w:p w14:paraId="6CD3CAAE" w14:textId="77777777" w:rsidR="006908EB" w:rsidRPr="006908EB" w:rsidRDefault="006908EB" w:rsidP="006908EB">
            <w:pPr>
              <w:keepNext/>
              <w:tabs>
                <w:tab w:val="num" w:pos="0"/>
              </w:tabs>
              <w:contextualSpacing/>
              <w:outlineLvl w:val="0"/>
              <w:rPr>
                <w:rFonts w:eastAsia="Times New Roman" w:cs="Calibri"/>
                <w:b/>
                <w:bCs/>
                <w:color w:val="000000"/>
                <w:sz w:val="20"/>
                <w:szCs w:val="20"/>
              </w:rPr>
            </w:pPr>
          </w:p>
        </w:tc>
        <w:tc>
          <w:tcPr>
            <w:tcW w:w="990" w:type="dxa"/>
            <w:shd w:val="clear" w:color="auto" w:fill="BDD6EE" w:themeFill="accent1" w:themeFillTint="66"/>
            <w:vAlign w:val="center"/>
          </w:tcPr>
          <w:p w14:paraId="14135B0B" w14:textId="77777777" w:rsidR="006908EB" w:rsidRPr="006908EB" w:rsidRDefault="006908EB" w:rsidP="006908EB">
            <w:pPr>
              <w:keepNext/>
              <w:tabs>
                <w:tab w:val="num" w:pos="0"/>
              </w:tabs>
              <w:contextualSpacing/>
              <w:outlineLvl w:val="0"/>
              <w:rPr>
                <w:rFonts w:eastAsia="Times New Roman" w:cs="Calibri"/>
                <w:b/>
                <w:bCs/>
                <w:color w:val="000000"/>
                <w:sz w:val="20"/>
                <w:szCs w:val="20"/>
              </w:rPr>
            </w:pPr>
            <w:r w:rsidRPr="006908EB">
              <w:rPr>
                <w:rFonts w:eastAsia="Times New Roman" w:cs="Calibri"/>
                <w:b/>
                <w:bCs/>
                <w:color w:val="000000"/>
                <w:sz w:val="20"/>
                <w:szCs w:val="20"/>
              </w:rPr>
              <w:t>Baseline</w:t>
            </w:r>
          </w:p>
        </w:tc>
        <w:tc>
          <w:tcPr>
            <w:tcW w:w="1080" w:type="dxa"/>
            <w:shd w:val="clear" w:color="auto" w:fill="BDD6EE" w:themeFill="accent1" w:themeFillTint="66"/>
            <w:vAlign w:val="center"/>
          </w:tcPr>
          <w:p w14:paraId="459862C7" w14:textId="77777777" w:rsidR="006908EB" w:rsidRPr="006908EB" w:rsidRDefault="006908EB" w:rsidP="006908EB">
            <w:pPr>
              <w:keepNext/>
              <w:tabs>
                <w:tab w:val="num" w:pos="0"/>
              </w:tabs>
              <w:contextualSpacing/>
              <w:outlineLvl w:val="0"/>
              <w:rPr>
                <w:rFonts w:eastAsia="Times New Roman" w:cs="Calibri"/>
                <w:b/>
                <w:bCs/>
                <w:color w:val="000000"/>
                <w:sz w:val="20"/>
                <w:szCs w:val="20"/>
              </w:rPr>
            </w:pPr>
            <w:r w:rsidRPr="006908EB">
              <w:rPr>
                <w:rFonts w:eastAsia="Times New Roman" w:cs="Calibri"/>
                <w:b/>
                <w:bCs/>
                <w:color w:val="000000"/>
                <w:sz w:val="20"/>
                <w:szCs w:val="20"/>
              </w:rPr>
              <w:t>Actual Achieved</w:t>
            </w:r>
          </w:p>
        </w:tc>
        <w:tc>
          <w:tcPr>
            <w:tcW w:w="810" w:type="dxa"/>
            <w:shd w:val="clear" w:color="auto" w:fill="BDD6EE" w:themeFill="accent1" w:themeFillTint="66"/>
            <w:vAlign w:val="center"/>
          </w:tcPr>
          <w:p w14:paraId="02124576" w14:textId="77777777" w:rsidR="006908EB" w:rsidRPr="006908EB" w:rsidRDefault="006908EB" w:rsidP="006908EB">
            <w:pPr>
              <w:keepNext/>
              <w:tabs>
                <w:tab w:val="num" w:pos="0"/>
              </w:tabs>
              <w:contextualSpacing/>
              <w:outlineLvl w:val="0"/>
              <w:rPr>
                <w:rFonts w:eastAsia="Times New Roman" w:cs="Calibri"/>
                <w:b/>
                <w:bCs/>
                <w:color w:val="000000"/>
                <w:sz w:val="20"/>
                <w:szCs w:val="20"/>
              </w:rPr>
            </w:pPr>
            <w:r w:rsidRPr="006908EB">
              <w:rPr>
                <w:rFonts w:eastAsia="Times New Roman" w:cs="Calibri"/>
                <w:b/>
                <w:bCs/>
                <w:color w:val="000000"/>
                <w:sz w:val="20"/>
                <w:szCs w:val="20"/>
              </w:rPr>
              <w:t>Target</w:t>
            </w:r>
          </w:p>
        </w:tc>
        <w:tc>
          <w:tcPr>
            <w:tcW w:w="1159" w:type="dxa"/>
            <w:shd w:val="clear" w:color="auto" w:fill="BDD6EE" w:themeFill="accent1" w:themeFillTint="66"/>
            <w:vAlign w:val="center"/>
          </w:tcPr>
          <w:p w14:paraId="11FF7931" w14:textId="77777777" w:rsidR="006908EB" w:rsidRPr="006908EB" w:rsidRDefault="006908EB" w:rsidP="00EB3320">
            <w:pPr>
              <w:keepNext/>
              <w:tabs>
                <w:tab w:val="num" w:pos="0"/>
              </w:tabs>
              <w:contextualSpacing/>
              <w:outlineLvl w:val="0"/>
              <w:rPr>
                <w:rFonts w:eastAsia="Times New Roman" w:cs="Calibri"/>
                <w:b/>
                <w:bCs/>
                <w:color w:val="000000"/>
                <w:sz w:val="20"/>
                <w:szCs w:val="20"/>
              </w:rPr>
            </w:pPr>
            <w:r w:rsidRPr="006908EB">
              <w:rPr>
                <w:rFonts w:eastAsia="Times New Roman" w:cs="Calibri"/>
                <w:b/>
                <w:bCs/>
                <w:color w:val="000000"/>
                <w:sz w:val="20"/>
                <w:szCs w:val="20"/>
              </w:rPr>
              <w:t>Percent</w:t>
            </w:r>
            <w:r w:rsidR="00EB3320">
              <w:rPr>
                <w:rFonts w:eastAsia="Times New Roman" w:cs="Calibri"/>
                <w:b/>
                <w:bCs/>
                <w:color w:val="000000"/>
                <w:sz w:val="20"/>
                <w:szCs w:val="20"/>
              </w:rPr>
              <w:t xml:space="preserve"> of Target Achieved</w:t>
            </w:r>
          </w:p>
        </w:tc>
      </w:tr>
      <w:tr w:rsidR="006908EB" w:rsidRPr="006908EB" w14:paraId="1ABA29FE" w14:textId="77777777" w:rsidTr="00792FC6">
        <w:trPr>
          <w:trHeight w:val="240"/>
          <w:jc w:val="center"/>
        </w:trPr>
        <w:tc>
          <w:tcPr>
            <w:tcW w:w="1975" w:type="dxa"/>
            <w:noWrap/>
          </w:tcPr>
          <w:p w14:paraId="6FAA6F71" w14:textId="77777777" w:rsidR="006908EB" w:rsidRPr="00523DB6" w:rsidRDefault="006908EB" w:rsidP="006908EB">
            <w:pPr>
              <w:keepNext/>
              <w:tabs>
                <w:tab w:val="num" w:pos="0"/>
              </w:tabs>
              <w:contextualSpacing/>
              <w:outlineLvl w:val="0"/>
              <w:rPr>
                <w:rFonts w:eastAsia="Times New Roman" w:cs="Times New Roman"/>
                <w:b/>
                <w:sz w:val="20"/>
                <w:szCs w:val="20"/>
              </w:rPr>
            </w:pPr>
            <w:r w:rsidRPr="00523DB6">
              <w:rPr>
                <w:rFonts w:eastAsia="Times New Roman" w:cs="Times New Roman"/>
                <w:b/>
                <w:sz w:val="20"/>
                <w:szCs w:val="20"/>
              </w:rPr>
              <w:t>Number of consumers purchasing subsidized products</w:t>
            </w:r>
          </w:p>
        </w:tc>
        <w:tc>
          <w:tcPr>
            <w:tcW w:w="3836" w:type="dxa"/>
          </w:tcPr>
          <w:p w14:paraId="7882246E" w14:textId="77777777" w:rsidR="006908EB" w:rsidRPr="00523DB6" w:rsidRDefault="006908EB" w:rsidP="006908EB">
            <w:pPr>
              <w:keepNext/>
              <w:tabs>
                <w:tab w:val="num" w:pos="0"/>
              </w:tabs>
              <w:contextualSpacing/>
              <w:outlineLvl w:val="0"/>
              <w:rPr>
                <w:rFonts w:eastAsia="Times New Roman" w:cs="Calibri"/>
                <w:sz w:val="20"/>
                <w:szCs w:val="20"/>
              </w:rPr>
            </w:pPr>
            <w:r w:rsidRPr="00523DB6">
              <w:rPr>
                <w:rFonts w:eastAsia="Times New Roman" w:cs="Calibri"/>
                <w:sz w:val="20"/>
                <w:szCs w:val="20"/>
              </w:rPr>
              <w:t>Total number of consumers purchasing a MCEEIF subsidized product. This includes energy- efficient stoves (up to four types), ger insulation (typically two layers), vestibules and energy efficient homes in the ger areas of Ulaanbataar.</w:t>
            </w:r>
          </w:p>
        </w:tc>
        <w:tc>
          <w:tcPr>
            <w:tcW w:w="990" w:type="dxa"/>
            <w:vAlign w:val="center"/>
          </w:tcPr>
          <w:p w14:paraId="33BC7CD5" w14:textId="77777777" w:rsidR="006908EB" w:rsidRPr="00523DB6" w:rsidRDefault="006908EB" w:rsidP="00EA2711">
            <w:pPr>
              <w:keepNext/>
              <w:tabs>
                <w:tab w:val="num" w:pos="0"/>
              </w:tabs>
              <w:contextualSpacing/>
              <w:jc w:val="center"/>
              <w:outlineLvl w:val="0"/>
              <w:rPr>
                <w:rFonts w:eastAsia="Times New Roman" w:cs="Calibri"/>
                <w:color w:val="000000"/>
                <w:sz w:val="20"/>
                <w:szCs w:val="20"/>
              </w:rPr>
            </w:pPr>
            <w:r w:rsidRPr="00523DB6">
              <w:rPr>
                <w:rFonts w:eastAsia="Times New Roman" w:cs="Calibri"/>
                <w:color w:val="000000"/>
                <w:sz w:val="20"/>
                <w:szCs w:val="20"/>
              </w:rPr>
              <w:t>0</w:t>
            </w:r>
          </w:p>
        </w:tc>
        <w:tc>
          <w:tcPr>
            <w:tcW w:w="1080" w:type="dxa"/>
            <w:noWrap/>
            <w:vAlign w:val="center"/>
          </w:tcPr>
          <w:p w14:paraId="610DCE5E" w14:textId="77777777" w:rsidR="006908EB" w:rsidRPr="00523DB6" w:rsidRDefault="006908EB" w:rsidP="00EA2711">
            <w:pPr>
              <w:keepNext/>
              <w:tabs>
                <w:tab w:val="num" w:pos="0"/>
              </w:tabs>
              <w:contextualSpacing/>
              <w:jc w:val="center"/>
              <w:outlineLvl w:val="0"/>
              <w:rPr>
                <w:rFonts w:eastAsia="Times New Roman" w:cs="Calibri"/>
                <w:color w:val="000000"/>
                <w:sz w:val="20"/>
                <w:szCs w:val="20"/>
              </w:rPr>
            </w:pPr>
            <w:r w:rsidRPr="00523DB6">
              <w:rPr>
                <w:rFonts w:eastAsia="Times New Roman" w:cs="Calibri"/>
                <w:color w:val="000000"/>
                <w:sz w:val="20"/>
                <w:szCs w:val="20"/>
              </w:rPr>
              <w:t>128,681</w:t>
            </w:r>
          </w:p>
        </w:tc>
        <w:tc>
          <w:tcPr>
            <w:tcW w:w="810" w:type="dxa"/>
            <w:noWrap/>
            <w:vAlign w:val="center"/>
          </w:tcPr>
          <w:p w14:paraId="69B2E7EE" w14:textId="77777777" w:rsidR="006908EB" w:rsidRPr="00523DB6" w:rsidRDefault="006908EB" w:rsidP="00EA2711">
            <w:pPr>
              <w:keepNext/>
              <w:tabs>
                <w:tab w:val="num" w:pos="0"/>
              </w:tabs>
              <w:contextualSpacing/>
              <w:jc w:val="center"/>
              <w:outlineLvl w:val="0"/>
              <w:rPr>
                <w:rFonts w:eastAsia="Times New Roman" w:cs="Calibri"/>
                <w:color w:val="000000"/>
                <w:sz w:val="20"/>
                <w:szCs w:val="20"/>
              </w:rPr>
            </w:pPr>
            <w:r w:rsidRPr="00523DB6">
              <w:rPr>
                <w:rFonts w:eastAsia="Times New Roman" w:cs="Calibri"/>
                <w:color w:val="000000"/>
                <w:sz w:val="20"/>
                <w:szCs w:val="20"/>
              </w:rPr>
              <w:t xml:space="preserve">Not </w:t>
            </w:r>
            <w:r w:rsidR="001C559A" w:rsidRPr="00523DB6">
              <w:rPr>
                <w:rFonts w:eastAsia="Times New Roman" w:cs="Calibri"/>
                <w:color w:val="000000"/>
                <w:sz w:val="20"/>
                <w:szCs w:val="20"/>
              </w:rPr>
              <w:t>S</w:t>
            </w:r>
            <w:r w:rsidRPr="00523DB6">
              <w:rPr>
                <w:rFonts w:eastAsia="Times New Roman" w:cs="Calibri"/>
                <w:color w:val="000000"/>
                <w:sz w:val="20"/>
                <w:szCs w:val="20"/>
              </w:rPr>
              <w:t>et</w:t>
            </w:r>
          </w:p>
        </w:tc>
        <w:tc>
          <w:tcPr>
            <w:tcW w:w="1159" w:type="dxa"/>
            <w:noWrap/>
            <w:vAlign w:val="center"/>
          </w:tcPr>
          <w:p w14:paraId="0F787200" w14:textId="77777777" w:rsidR="006908EB" w:rsidRPr="00523DB6" w:rsidRDefault="006908EB" w:rsidP="00EA2711">
            <w:pPr>
              <w:keepNext/>
              <w:tabs>
                <w:tab w:val="num" w:pos="0"/>
              </w:tabs>
              <w:contextualSpacing/>
              <w:jc w:val="center"/>
              <w:outlineLvl w:val="0"/>
              <w:rPr>
                <w:rFonts w:eastAsia="Times New Roman" w:cs="Calibri"/>
                <w:color w:val="000000"/>
                <w:sz w:val="20"/>
                <w:szCs w:val="20"/>
              </w:rPr>
            </w:pPr>
            <w:r w:rsidRPr="00523DB6">
              <w:rPr>
                <w:rFonts w:eastAsia="Times New Roman" w:cs="Calibri"/>
                <w:color w:val="000000"/>
                <w:sz w:val="20"/>
                <w:szCs w:val="20"/>
              </w:rPr>
              <w:t>N/A</w:t>
            </w:r>
          </w:p>
        </w:tc>
      </w:tr>
      <w:tr w:rsidR="006908EB" w:rsidRPr="006908EB" w14:paraId="1513F75A" w14:textId="77777777" w:rsidTr="00792FC6">
        <w:trPr>
          <w:trHeight w:val="240"/>
          <w:jc w:val="center"/>
        </w:trPr>
        <w:tc>
          <w:tcPr>
            <w:tcW w:w="1975" w:type="dxa"/>
            <w:noWrap/>
          </w:tcPr>
          <w:p w14:paraId="72E9AD64" w14:textId="77777777" w:rsidR="006908EB" w:rsidRPr="006908EB" w:rsidRDefault="006908EB" w:rsidP="006908EB">
            <w:pPr>
              <w:keepNext/>
              <w:tabs>
                <w:tab w:val="num" w:pos="0"/>
              </w:tabs>
              <w:contextualSpacing/>
              <w:outlineLvl w:val="0"/>
              <w:rPr>
                <w:rFonts w:eastAsia="Times New Roman" w:cs="Times New Roman"/>
                <w:b/>
                <w:color w:val="000000"/>
                <w:sz w:val="20"/>
                <w:szCs w:val="20"/>
              </w:rPr>
            </w:pPr>
            <w:r w:rsidRPr="006908EB">
              <w:rPr>
                <w:rFonts w:eastAsia="Times New Roman" w:cs="Times New Roman"/>
                <w:b/>
                <w:color w:val="000000"/>
                <w:sz w:val="20"/>
                <w:szCs w:val="20"/>
              </w:rPr>
              <w:t>Number of female consumers purchasing subsidized products</w:t>
            </w:r>
          </w:p>
        </w:tc>
        <w:tc>
          <w:tcPr>
            <w:tcW w:w="3836" w:type="dxa"/>
          </w:tcPr>
          <w:p w14:paraId="09ADD768" w14:textId="77777777" w:rsidR="006908EB" w:rsidRPr="006908EB" w:rsidRDefault="006908EB" w:rsidP="006908EB">
            <w:pPr>
              <w:keepNext/>
              <w:tabs>
                <w:tab w:val="num" w:pos="0"/>
              </w:tabs>
              <w:contextualSpacing/>
              <w:outlineLvl w:val="0"/>
              <w:rPr>
                <w:rFonts w:eastAsia="Times New Roman" w:cs="Calibri"/>
                <w:color w:val="000000"/>
                <w:sz w:val="20"/>
                <w:szCs w:val="20"/>
              </w:rPr>
            </w:pPr>
            <w:r w:rsidRPr="006908EB">
              <w:rPr>
                <w:rFonts w:eastAsia="Times New Roman" w:cs="Calibri"/>
                <w:color w:val="000000"/>
                <w:sz w:val="20"/>
                <w:szCs w:val="20"/>
              </w:rPr>
              <w:t>Total number of female consumers purchasing a MCEEIF subsidized product. This includes energy- efficient stoves (up to four types), ger insulation (typically two layers), vestibules and energy efficient homes in the ger areas of Ulaanbataar.</w:t>
            </w:r>
          </w:p>
        </w:tc>
        <w:tc>
          <w:tcPr>
            <w:tcW w:w="990" w:type="dxa"/>
            <w:vAlign w:val="center"/>
          </w:tcPr>
          <w:p w14:paraId="6D2D70D8" w14:textId="77777777" w:rsidR="006908EB" w:rsidRPr="006908EB" w:rsidRDefault="006908EB" w:rsidP="00EA2711">
            <w:pPr>
              <w:keepNext/>
              <w:tabs>
                <w:tab w:val="num" w:pos="0"/>
              </w:tabs>
              <w:contextualSpacing/>
              <w:jc w:val="center"/>
              <w:outlineLvl w:val="0"/>
              <w:rPr>
                <w:rFonts w:eastAsia="Times New Roman" w:cs="Calibri"/>
                <w:color w:val="000000"/>
                <w:sz w:val="20"/>
                <w:szCs w:val="20"/>
              </w:rPr>
            </w:pPr>
            <w:r w:rsidRPr="006908EB">
              <w:rPr>
                <w:rFonts w:eastAsia="Times New Roman" w:cs="Calibri"/>
                <w:color w:val="000000"/>
                <w:sz w:val="20"/>
                <w:szCs w:val="20"/>
              </w:rPr>
              <w:t>0</w:t>
            </w:r>
          </w:p>
        </w:tc>
        <w:tc>
          <w:tcPr>
            <w:tcW w:w="1080" w:type="dxa"/>
            <w:noWrap/>
            <w:vAlign w:val="center"/>
          </w:tcPr>
          <w:p w14:paraId="034EF3ED" w14:textId="77777777" w:rsidR="006908EB" w:rsidRPr="006908EB" w:rsidRDefault="006908EB" w:rsidP="00EA2711">
            <w:pPr>
              <w:keepNext/>
              <w:tabs>
                <w:tab w:val="num" w:pos="0"/>
              </w:tabs>
              <w:contextualSpacing/>
              <w:jc w:val="center"/>
              <w:outlineLvl w:val="0"/>
              <w:rPr>
                <w:rFonts w:eastAsia="Times New Roman" w:cs="Calibri"/>
                <w:color w:val="000000"/>
                <w:sz w:val="20"/>
                <w:szCs w:val="20"/>
              </w:rPr>
            </w:pPr>
            <w:r w:rsidRPr="006908EB">
              <w:rPr>
                <w:rFonts w:eastAsia="Times New Roman" w:cs="Calibri"/>
                <w:color w:val="000000"/>
                <w:sz w:val="20"/>
                <w:szCs w:val="20"/>
              </w:rPr>
              <w:t>50,084</w:t>
            </w:r>
          </w:p>
        </w:tc>
        <w:tc>
          <w:tcPr>
            <w:tcW w:w="810" w:type="dxa"/>
            <w:noWrap/>
            <w:vAlign w:val="center"/>
          </w:tcPr>
          <w:p w14:paraId="06F07C7B" w14:textId="77777777" w:rsidR="006908EB" w:rsidRPr="006908EB" w:rsidRDefault="006908EB" w:rsidP="00EA2711">
            <w:pPr>
              <w:keepNext/>
              <w:tabs>
                <w:tab w:val="num" w:pos="0"/>
              </w:tabs>
              <w:contextualSpacing/>
              <w:jc w:val="center"/>
              <w:outlineLvl w:val="0"/>
              <w:rPr>
                <w:rFonts w:eastAsia="Times New Roman" w:cs="Calibri"/>
                <w:color w:val="000000"/>
                <w:sz w:val="20"/>
                <w:szCs w:val="20"/>
              </w:rPr>
            </w:pPr>
            <w:r w:rsidRPr="006908EB">
              <w:rPr>
                <w:rFonts w:eastAsia="Times New Roman" w:cs="Calibri"/>
                <w:color w:val="000000"/>
                <w:sz w:val="20"/>
                <w:szCs w:val="20"/>
              </w:rPr>
              <w:t xml:space="preserve">Not </w:t>
            </w:r>
            <w:r w:rsidR="001C559A">
              <w:rPr>
                <w:rFonts w:eastAsia="Times New Roman" w:cs="Calibri"/>
                <w:color w:val="000000"/>
                <w:sz w:val="20"/>
                <w:szCs w:val="20"/>
              </w:rPr>
              <w:t>S</w:t>
            </w:r>
            <w:r w:rsidRPr="006908EB">
              <w:rPr>
                <w:rFonts w:eastAsia="Times New Roman" w:cs="Calibri"/>
                <w:color w:val="000000"/>
                <w:sz w:val="20"/>
                <w:szCs w:val="20"/>
              </w:rPr>
              <w:t>et</w:t>
            </w:r>
          </w:p>
        </w:tc>
        <w:tc>
          <w:tcPr>
            <w:tcW w:w="1159" w:type="dxa"/>
            <w:noWrap/>
            <w:vAlign w:val="center"/>
          </w:tcPr>
          <w:p w14:paraId="52E422B2" w14:textId="77777777" w:rsidR="006908EB" w:rsidRPr="006908EB" w:rsidRDefault="006908EB" w:rsidP="00EA2711">
            <w:pPr>
              <w:keepNext/>
              <w:tabs>
                <w:tab w:val="num" w:pos="0"/>
              </w:tabs>
              <w:contextualSpacing/>
              <w:jc w:val="center"/>
              <w:outlineLvl w:val="0"/>
              <w:rPr>
                <w:rFonts w:eastAsia="Times New Roman" w:cs="Calibri"/>
                <w:color w:val="000000"/>
                <w:sz w:val="20"/>
                <w:szCs w:val="20"/>
              </w:rPr>
            </w:pPr>
            <w:r w:rsidRPr="006908EB">
              <w:rPr>
                <w:rFonts w:eastAsia="Times New Roman" w:cs="Calibri"/>
                <w:color w:val="000000"/>
                <w:sz w:val="20"/>
                <w:szCs w:val="20"/>
              </w:rPr>
              <w:t>N/A</w:t>
            </w:r>
          </w:p>
        </w:tc>
      </w:tr>
      <w:tr w:rsidR="006F1877" w:rsidRPr="006908EB" w14:paraId="267CAEDD" w14:textId="77777777" w:rsidTr="00792FC6">
        <w:trPr>
          <w:trHeight w:val="240"/>
          <w:jc w:val="center"/>
        </w:trPr>
        <w:tc>
          <w:tcPr>
            <w:tcW w:w="1975" w:type="dxa"/>
            <w:noWrap/>
          </w:tcPr>
          <w:p w14:paraId="3A04E314" w14:textId="77777777" w:rsidR="006F1877" w:rsidRPr="006908EB" w:rsidRDefault="006F1877" w:rsidP="00BD1EDA">
            <w:pPr>
              <w:keepNext/>
              <w:tabs>
                <w:tab w:val="num" w:pos="0"/>
              </w:tabs>
              <w:contextualSpacing/>
              <w:outlineLvl w:val="0"/>
              <w:rPr>
                <w:rFonts w:eastAsia="Times New Roman" w:cs="Calibri"/>
                <w:b/>
                <w:color w:val="000000"/>
                <w:sz w:val="20"/>
              </w:rPr>
            </w:pPr>
            <w:r w:rsidRPr="006908EB">
              <w:rPr>
                <w:rFonts w:eastAsia="Times New Roman" w:cs="Calibri"/>
                <w:b/>
                <w:color w:val="000000"/>
                <w:sz w:val="20"/>
              </w:rPr>
              <w:t>Number of subsidized stoves sold</w:t>
            </w:r>
          </w:p>
        </w:tc>
        <w:tc>
          <w:tcPr>
            <w:tcW w:w="3836" w:type="dxa"/>
          </w:tcPr>
          <w:p w14:paraId="6888569F" w14:textId="77777777" w:rsidR="006F1877" w:rsidRPr="006908EB" w:rsidRDefault="006F1877" w:rsidP="00BD1EDA">
            <w:pPr>
              <w:keepNext/>
              <w:tabs>
                <w:tab w:val="num" w:pos="0"/>
              </w:tabs>
              <w:contextualSpacing/>
              <w:outlineLvl w:val="0"/>
              <w:rPr>
                <w:rFonts w:eastAsia="Times New Roman" w:cs="Calibri"/>
                <w:color w:val="000000"/>
                <w:sz w:val="20"/>
                <w:highlight w:val="yellow"/>
              </w:rPr>
            </w:pPr>
            <w:r w:rsidRPr="006908EB">
              <w:rPr>
                <w:rFonts w:eastAsia="Times New Roman" w:cs="Calibri"/>
                <w:color w:val="000000"/>
                <w:sz w:val="20"/>
              </w:rPr>
              <w:t>Number of subsidized stoves sold by the MCEEIF</w:t>
            </w:r>
          </w:p>
        </w:tc>
        <w:tc>
          <w:tcPr>
            <w:tcW w:w="990" w:type="dxa"/>
            <w:vAlign w:val="center"/>
          </w:tcPr>
          <w:p w14:paraId="5170023A" w14:textId="77777777" w:rsidR="006F1877" w:rsidRPr="006908EB" w:rsidRDefault="006F1877" w:rsidP="00BD1EDA">
            <w:pPr>
              <w:keepNext/>
              <w:tabs>
                <w:tab w:val="num" w:pos="0"/>
              </w:tabs>
              <w:contextualSpacing/>
              <w:jc w:val="center"/>
              <w:outlineLvl w:val="0"/>
              <w:rPr>
                <w:rFonts w:eastAsia="Times New Roman" w:cs="Calibri"/>
                <w:color w:val="000000"/>
                <w:sz w:val="20"/>
              </w:rPr>
            </w:pPr>
            <w:r w:rsidRPr="006908EB">
              <w:rPr>
                <w:rFonts w:eastAsia="Times New Roman" w:cs="Calibri"/>
                <w:color w:val="000000"/>
                <w:sz w:val="20"/>
              </w:rPr>
              <w:t>0</w:t>
            </w:r>
          </w:p>
        </w:tc>
        <w:tc>
          <w:tcPr>
            <w:tcW w:w="1080" w:type="dxa"/>
            <w:noWrap/>
            <w:vAlign w:val="center"/>
          </w:tcPr>
          <w:p w14:paraId="51125D8F" w14:textId="77777777" w:rsidR="006F1877" w:rsidRPr="006908EB" w:rsidRDefault="006F1877" w:rsidP="00BD1EDA">
            <w:pPr>
              <w:keepNext/>
              <w:tabs>
                <w:tab w:val="num" w:pos="0"/>
              </w:tabs>
              <w:contextualSpacing/>
              <w:jc w:val="center"/>
              <w:outlineLvl w:val="0"/>
              <w:rPr>
                <w:rFonts w:eastAsia="Times New Roman" w:cs="Calibri"/>
                <w:color w:val="000000"/>
                <w:sz w:val="20"/>
              </w:rPr>
            </w:pPr>
            <w:r w:rsidRPr="006908EB">
              <w:rPr>
                <w:rFonts w:eastAsia="Times New Roman" w:cs="Calibri"/>
                <w:color w:val="000000"/>
                <w:sz w:val="20"/>
              </w:rPr>
              <w:t>103,255</w:t>
            </w:r>
          </w:p>
        </w:tc>
        <w:tc>
          <w:tcPr>
            <w:tcW w:w="810" w:type="dxa"/>
            <w:noWrap/>
            <w:vAlign w:val="center"/>
          </w:tcPr>
          <w:p w14:paraId="489C25C5" w14:textId="77777777" w:rsidR="006F1877" w:rsidRPr="006908EB" w:rsidRDefault="006F1877" w:rsidP="00BD1EDA">
            <w:pPr>
              <w:keepNext/>
              <w:tabs>
                <w:tab w:val="num" w:pos="0"/>
              </w:tabs>
              <w:contextualSpacing/>
              <w:jc w:val="center"/>
              <w:outlineLvl w:val="0"/>
              <w:rPr>
                <w:rFonts w:eastAsia="Times New Roman" w:cs="Calibri"/>
                <w:color w:val="000000"/>
                <w:sz w:val="20"/>
              </w:rPr>
            </w:pPr>
            <w:r w:rsidRPr="006908EB">
              <w:rPr>
                <w:rFonts w:eastAsia="Times New Roman" w:cs="Calibri"/>
                <w:color w:val="000000"/>
                <w:sz w:val="20"/>
              </w:rPr>
              <w:t xml:space="preserve">Not </w:t>
            </w:r>
            <w:r>
              <w:rPr>
                <w:rFonts w:eastAsia="Times New Roman" w:cs="Calibri"/>
                <w:color w:val="000000"/>
                <w:sz w:val="20"/>
              </w:rPr>
              <w:t>S</w:t>
            </w:r>
            <w:r w:rsidRPr="006908EB">
              <w:rPr>
                <w:rFonts w:eastAsia="Times New Roman" w:cs="Calibri"/>
                <w:color w:val="000000"/>
                <w:sz w:val="20"/>
              </w:rPr>
              <w:t>et</w:t>
            </w:r>
          </w:p>
        </w:tc>
        <w:tc>
          <w:tcPr>
            <w:tcW w:w="1159" w:type="dxa"/>
            <w:noWrap/>
            <w:vAlign w:val="center"/>
          </w:tcPr>
          <w:p w14:paraId="2961C2D8" w14:textId="77777777" w:rsidR="006F1877" w:rsidRPr="006908EB" w:rsidRDefault="006F1877" w:rsidP="00BD1EDA">
            <w:pPr>
              <w:keepNext/>
              <w:tabs>
                <w:tab w:val="num" w:pos="0"/>
              </w:tabs>
              <w:contextualSpacing/>
              <w:jc w:val="center"/>
              <w:outlineLvl w:val="0"/>
              <w:rPr>
                <w:rFonts w:eastAsia="Times New Roman" w:cs="Calibri"/>
                <w:color w:val="000000"/>
                <w:sz w:val="20"/>
              </w:rPr>
            </w:pPr>
            <w:r w:rsidRPr="006908EB">
              <w:rPr>
                <w:rFonts w:eastAsia="Times New Roman" w:cs="Calibri"/>
                <w:color w:val="000000"/>
                <w:sz w:val="20"/>
              </w:rPr>
              <w:t>N/A</w:t>
            </w:r>
          </w:p>
        </w:tc>
      </w:tr>
      <w:tr w:rsidR="006908EB" w:rsidRPr="006908EB" w14:paraId="4EE01C6C" w14:textId="77777777" w:rsidTr="00792FC6">
        <w:trPr>
          <w:trHeight w:val="240"/>
          <w:jc w:val="center"/>
        </w:trPr>
        <w:tc>
          <w:tcPr>
            <w:tcW w:w="1975" w:type="dxa"/>
            <w:noWrap/>
          </w:tcPr>
          <w:p w14:paraId="184D1853" w14:textId="77777777" w:rsidR="006908EB" w:rsidRPr="006908EB" w:rsidRDefault="006908EB" w:rsidP="006908EB">
            <w:pPr>
              <w:keepNext/>
              <w:tabs>
                <w:tab w:val="num" w:pos="0"/>
              </w:tabs>
              <w:contextualSpacing/>
              <w:outlineLvl w:val="0"/>
              <w:rPr>
                <w:rFonts w:eastAsia="Times New Roman" w:cs="Times New Roman"/>
                <w:b/>
                <w:color w:val="000000"/>
                <w:sz w:val="20"/>
              </w:rPr>
            </w:pPr>
            <w:r w:rsidRPr="006908EB">
              <w:rPr>
                <w:rFonts w:eastAsia="Times New Roman" w:cs="Times New Roman"/>
                <w:b/>
                <w:color w:val="000000"/>
                <w:sz w:val="20"/>
              </w:rPr>
              <w:lastRenderedPageBreak/>
              <w:t>Subsidized stoves in participating homes (%)</w:t>
            </w:r>
            <w:r w:rsidRPr="00E13C47">
              <w:rPr>
                <w:rFonts w:eastAsia="Times New Roman" w:cs="Times New Roman"/>
                <w:color w:val="000000"/>
                <w:sz w:val="20"/>
                <w:vertAlign w:val="superscript"/>
              </w:rPr>
              <w:footnoteReference w:id="10"/>
            </w:r>
          </w:p>
        </w:tc>
        <w:tc>
          <w:tcPr>
            <w:tcW w:w="3836" w:type="dxa"/>
          </w:tcPr>
          <w:p w14:paraId="60AAD8EE" w14:textId="77777777" w:rsidR="006908EB" w:rsidRPr="006908EB" w:rsidRDefault="006908EB" w:rsidP="00E8092C">
            <w:pPr>
              <w:keepNext/>
              <w:tabs>
                <w:tab w:val="num" w:pos="0"/>
              </w:tabs>
              <w:contextualSpacing/>
              <w:outlineLvl w:val="0"/>
              <w:rPr>
                <w:rFonts w:eastAsia="Times New Roman" w:cs="Calibri"/>
                <w:color w:val="000000"/>
                <w:sz w:val="20"/>
              </w:rPr>
            </w:pPr>
            <w:r w:rsidRPr="006908EB">
              <w:rPr>
                <w:rFonts w:eastAsia="Times New Roman" w:cs="Calibri"/>
                <w:color w:val="000000"/>
                <w:sz w:val="20"/>
              </w:rPr>
              <w:t>Number of participating households that continue to have the MCEEIF stove</w:t>
            </w:r>
            <w:r w:rsidR="001C559A">
              <w:rPr>
                <w:rFonts w:eastAsia="Times New Roman" w:cs="Calibri"/>
                <w:color w:val="000000"/>
                <w:sz w:val="20"/>
              </w:rPr>
              <w:t xml:space="preserve"> </w:t>
            </w:r>
            <w:r w:rsidR="00E8092C">
              <w:rPr>
                <w:rFonts w:eastAsia="Times New Roman" w:cs="Calibri"/>
                <w:color w:val="000000"/>
                <w:sz w:val="20"/>
              </w:rPr>
              <w:t xml:space="preserve">from the date of purchase until </w:t>
            </w:r>
            <w:r w:rsidR="001C559A">
              <w:rPr>
                <w:rFonts w:eastAsia="Times New Roman" w:cs="Calibri"/>
                <w:color w:val="000000"/>
                <w:sz w:val="20"/>
              </w:rPr>
              <w:t>the time of the survey</w:t>
            </w:r>
            <w:r w:rsidRPr="006908EB">
              <w:rPr>
                <w:rFonts w:eastAsia="Times New Roman" w:cs="Calibri"/>
                <w:color w:val="000000"/>
                <w:sz w:val="20"/>
              </w:rPr>
              <w:t xml:space="preserve">. This </w:t>
            </w:r>
            <w:r w:rsidR="001C559A">
              <w:rPr>
                <w:rFonts w:eastAsia="Times New Roman" w:cs="Calibri"/>
                <w:color w:val="000000"/>
                <w:sz w:val="20"/>
              </w:rPr>
              <w:t>is</w:t>
            </w:r>
            <w:r w:rsidRPr="006908EB">
              <w:rPr>
                <w:rFonts w:eastAsia="Times New Roman" w:cs="Calibri"/>
                <w:color w:val="000000"/>
                <w:sz w:val="20"/>
              </w:rPr>
              <w:t xml:space="preserve"> a sample-based indicator and </w:t>
            </w:r>
            <w:r w:rsidR="001C559A">
              <w:rPr>
                <w:rFonts w:eastAsia="Times New Roman" w:cs="Calibri"/>
                <w:color w:val="000000"/>
                <w:sz w:val="20"/>
              </w:rPr>
              <w:t xml:space="preserve">does not represent </w:t>
            </w:r>
            <w:r w:rsidRPr="006908EB">
              <w:rPr>
                <w:rFonts w:eastAsia="Times New Roman" w:cs="Calibri"/>
                <w:color w:val="000000"/>
                <w:sz w:val="20"/>
              </w:rPr>
              <w:t>the full population of participating households.</w:t>
            </w:r>
          </w:p>
        </w:tc>
        <w:tc>
          <w:tcPr>
            <w:tcW w:w="990" w:type="dxa"/>
            <w:vAlign w:val="center"/>
          </w:tcPr>
          <w:p w14:paraId="155105D2" w14:textId="77777777" w:rsidR="006908EB" w:rsidRPr="006908EB" w:rsidRDefault="006908EB" w:rsidP="00EA2711">
            <w:pPr>
              <w:keepNext/>
              <w:tabs>
                <w:tab w:val="num" w:pos="0"/>
              </w:tabs>
              <w:contextualSpacing/>
              <w:jc w:val="center"/>
              <w:outlineLvl w:val="0"/>
              <w:rPr>
                <w:rFonts w:eastAsia="Times New Roman" w:cs="Calibri"/>
                <w:color w:val="000000"/>
                <w:sz w:val="20"/>
              </w:rPr>
            </w:pPr>
            <w:r w:rsidRPr="006908EB">
              <w:rPr>
                <w:rFonts w:eastAsia="Times New Roman" w:cs="Calibri"/>
                <w:color w:val="000000"/>
                <w:sz w:val="20"/>
              </w:rPr>
              <w:t>0</w:t>
            </w:r>
          </w:p>
        </w:tc>
        <w:tc>
          <w:tcPr>
            <w:tcW w:w="1080" w:type="dxa"/>
            <w:noWrap/>
            <w:vAlign w:val="center"/>
          </w:tcPr>
          <w:p w14:paraId="6058F738" w14:textId="77777777" w:rsidR="006908EB" w:rsidRPr="006908EB" w:rsidRDefault="006908EB" w:rsidP="00EA2711">
            <w:pPr>
              <w:keepNext/>
              <w:tabs>
                <w:tab w:val="num" w:pos="0"/>
              </w:tabs>
              <w:contextualSpacing/>
              <w:jc w:val="center"/>
              <w:outlineLvl w:val="0"/>
              <w:rPr>
                <w:rFonts w:eastAsia="Times New Roman" w:cs="Calibri"/>
                <w:color w:val="000000"/>
                <w:sz w:val="20"/>
              </w:rPr>
            </w:pPr>
            <w:r w:rsidRPr="006908EB">
              <w:rPr>
                <w:rFonts w:eastAsia="Times New Roman" w:cs="Calibri"/>
                <w:color w:val="000000"/>
                <w:sz w:val="20"/>
              </w:rPr>
              <w:t>81%</w:t>
            </w:r>
          </w:p>
        </w:tc>
        <w:tc>
          <w:tcPr>
            <w:tcW w:w="810" w:type="dxa"/>
            <w:noWrap/>
            <w:vAlign w:val="center"/>
          </w:tcPr>
          <w:p w14:paraId="50110672" w14:textId="77777777" w:rsidR="006908EB" w:rsidRPr="006908EB" w:rsidRDefault="006908EB" w:rsidP="00EA2711">
            <w:pPr>
              <w:keepNext/>
              <w:tabs>
                <w:tab w:val="num" w:pos="0"/>
              </w:tabs>
              <w:contextualSpacing/>
              <w:jc w:val="center"/>
              <w:outlineLvl w:val="0"/>
              <w:rPr>
                <w:rFonts w:eastAsia="Times New Roman" w:cs="Calibri"/>
                <w:color w:val="000000"/>
                <w:sz w:val="20"/>
              </w:rPr>
            </w:pPr>
            <w:r w:rsidRPr="006908EB">
              <w:rPr>
                <w:rFonts w:eastAsia="Times New Roman" w:cs="Calibri"/>
                <w:color w:val="000000"/>
                <w:sz w:val="20"/>
              </w:rPr>
              <w:t>90%</w:t>
            </w:r>
          </w:p>
        </w:tc>
        <w:tc>
          <w:tcPr>
            <w:tcW w:w="1159" w:type="dxa"/>
            <w:noWrap/>
            <w:vAlign w:val="center"/>
          </w:tcPr>
          <w:p w14:paraId="38311ADB" w14:textId="77777777" w:rsidR="006908EB" w:rsidRPr="006908EB" w:rsidRDefault="006908EB" w:rsidP="00EA2711">
            <w:pPr>
              <w:keepNext/>
              <w:tabs>
                <w:tab w:val="num" w:pos="0"/>
              </w:tabs>
              <w:contextualSpacing/>
              <w:jc w:val="center"/>
              <w:outlineLvl w:val="0"/>
              <w:rPr>
                <w:rFonts w:eastAsia="Times New Roman" w:cs="Calibri"/>
                <w:strike/>
                <w:color w:val="000000"/>
                <w:sz w:val="20"/>
              </w:rPr>
            </w:pPr>
            <w:r w:rsidRPr="006908EB">
              <w:rPr>
                <w:rFonts w:eastAsia="Times New Roman" w:cs="Calibri"/>
                <w:color w:val="000000"/>
                <w:sz w:val="20"/>
              </w:rPr>
              <w:t>90%</w:t>
            </w:r>
          </w:p>
        </w:tc>
      </w:tr>
      <w:tr w:rsidR="006908EB" w:rsidRPr="006908EB" w14:paraId="349948C6" w14:textId="77777777" w:rsidTr="00792FC6">
        <w:trPr>
          <w:trHeight w:val="240"/>
          <w:jc w:val="center"/>
        </w:trPr>
        <w:tc>
          <w:tcPr>
            <w:tcW w:w="1975" w:type="dxa"/>
            <w:noWrap/>
          </w:tcPr>
          <w:p w14:paraId="06AF4569" w14:textId="77777777" w:rsidR="006908EB" w:rsidRPr="006908EB" w:rsidRDefault="006908EB" w:rsidP="00FB0457">
            <w:pPr>
              <w:keepNext/>
              <w:tabs>
                <w:tab w:val="num" w:pos="0"/>
              </w:tabs>
              <w:contextualSpacing/>
              <w:outlineLvl w:val="0"/>
              <w:rPr>
                <w:rFonts w:eastAsia="Times New Roman" w:cs="Calibri"/>
                <w:b/>
                <w:color w:val="000000"/>
                <w:sz w:val="20"/>
                <w:highlight w:val="yellow"/>
              </w:rPr>
            </w:pPr>
            <w:r w:rsidRPr="006908EB">
              <w:rPr>
                <w:rFonts w:eastAsia="Times New Roman" w:cs="Calibri"/>
                <w:b/>
                <w:color w:val="000000"/>
                <w:sz w:val="20"/>
              </w:rPr>
              <w:t>Total subsidies provided (USD</w:t>
            </w:r>
            <w:r w:rsidR="00C35DEA">
              <w:rPr>
                <w:rFonts w:eastAsia="Times New Roman" w:cs="Calibri"/>
                <w:b/>
                <w:color w:val="000000"/>
                <w:sz w:val="20"/>
              </w:rPr>
              <w:t xml:space="preserve"> </w:t>
            </w:r>
            <w:r w:rsidR="00FB0457">
              <w:rPr>
                <w:rFonts w:eastAsia="Times New Roman" w:cs="Calibri"/>
                <w:b/>
                <w:color w:val="000000"/>
                <w:sz w:val="20"/>
              </w:rPr>
              <w:t>millions</w:t>
            </w:r>
            <w:r w:rsidRPr="006908EB">
              <w:rPr>
                <w:rFonts w:eastAsia="Times New Roman" w:cs="Calibri"/>
                <w:b/>
                <w:color w:val="000000"/>
                <w:sz w:val="20"/>
              </w:rPr>
              <w:t>)</w:t>
            </w:r>
          </w:p>
        </w:tc>
        <w:tc>
          <w:tcPr>
            <w:tcW w:w="3836" w:type="dxa"/>
          </w:tcPr>
          <w:p w14:paraId="0D068F62" w14:textId="77777777" w:rsidR="006908EB" w:rsidRPr="006908EB" w:rsidRDefault="006908EB" w:rsidP="004B2776">
            <w:pPr>
              <w:keepNext/>
              <w:tabs>
                <w:tab w:val="num" w:pos="0"/>
              </w:tabs>
              <w:contextualSpacing/>
              <w:outlineLvl w:val="0"/>
              <w:rPr>
                <w:rFonts w:eastAsia="Times New Roman" w:cs="Calibri"/>
                <w:color w:val="000000"/>
                <w:sz w:val="20"/>
              </w:rPr>
            </w:pPr>
            <w:r w:rsidRPr="006908EB">
              <w:rPr>
                <w:rFonts w:eastAsia="Times New Roman" w:cs="Calibri"/>
                <w:color w:val="000000"/>
                <w:sz w:val="20"/>
              </w:rPr>
              <w:t>Total subsidy spent across all households purchasing any product subsidized by MCE</w:t>
            </w:r>
            <w:r w:rsidR="004B2776">
              <w:rPr>
                <w:rFonts w:eastAsia="Times New Roman" w:cs="Calibri"/>
                <w:color w:val="000000"/>
                <w:sz w:val="20"/>
              </w:rPr>
              <w:t>E</w:t>
            </w:r>
            <w:r w:rsidRPr="006908EB">
              <w:rPr>
                <w:rFonts w:eastAsia="Times New Roman" w:cs="Calibri"/>
                <w:color w:val="000000"/>
                <w:sz w:val="20"/>
              </w:rPr>
              <w:t>IF. This excludes administrative costs and HOB subsidies which are counted elsewhere.</w:t>
            </w:r>
          </w:p>
        </w:tc>
        <w:tc>
          <w:tcPr>
            <w:tcW w:w="990" w:type="dxa"/>
            <w:vAlign w:val="center"/>
          </w:tcPr>
          <w:p w14:paraId="4FB76BF5" w14:textId="77777777" w:rsidR="006908EB" w:rsidRPr="006908EB" w:rsidRDefault="006908EB" w:rsidP="00EA2711">
            <w:pPr>
              <w:keepNext/>
              <w:tabs>
                <w:tab w:val="num" w:pos="0"/>
              </w:tabs>
              <w:contextualSpacing/>
              <w:jc w:val="center"/>
              <w:outlineLvl w:val="0"/>
              <w:rPr>
                <w:rFonts w:eastAsia="Times New Roman" w:cs="Calibri"/>
                <w:color w:val="000000"/>
                <w:sz w:val="20"/>
              </w:rPr>
            </w:pPr>
            <w:r w:rsidRPr="006908EB">
              <w:rPr>
                <w:rFonts w:eastAsia="Times New Roman" w:cs="Calibri"/>
                <w:color w:val="000000"/>
                <w:sz w:val="20"/>
              </w:rPr>
              <w:t>0</w:t>
            </w:r>
          </w:p>
        </w:tc>
        <w:tc>
          <w:tcPr>
            <w:tcW w:w="1080" w:type="dxa"/>
            <w:noWrap/>
            <w:vAlign w:val="center"/>
          </w:tcPr>
          <w:p w14:paraId="4AB5692D" w14:textId="77777777" w:rsidR="006908EB" w:rsidRPr="006908EB" w:rsidRDefault="006908EB" w:rsidP="00822AD6">
            <w:pPr>
              <w:keepNext/>
              <w:tabs>
                <w:tab w:val="num" w:pos="0"/>
              </w:tabs>
              <w:contextualSpacing/>
              <w:jc w:val="center"/>
              <w:outlineLvl w:val="0"/>
              <w:rPr>
                <w:rFonts w:eastAsia="Times New Roman" w:cs="Calibri"/>
                <w:color w:val="000000"/>
                <w:sz w:val="20"/>
                <w:highlight w:val="yellow"/>
              </w:rPr>
            </w:pPr>
            <w:r w:rsidRPr="006908EB">
              <w:rPr>
                <w:rFonts w:eastAsia="Times New Roman" w:cs="Calibri"/>
                <w:color w:val="000000"/>
                <w:sz w:val="20"/>
              </w:rPr>
              <w:t>29</w:t>
            </w:r>
            <w:r w:rsidR="00822AD6">
              <w:rPr>
                <w:rFonts w:eastAsia="Times New Roman" w:cs="Calibri"/>
                <w:color w:val="000000"/>
                <w:sz w:val="20"/>
              </w:rPr>
              <w:t>.</w:t>
            </w:r>
            <w:r w:rsidRPr="006908EB">
              <w:rPr>
                <w:rFonts w:eastAsia="Times New Roman" w:cs="Calibri"/>
                <w:color w:val="000000"/>
                <w:sz w:val="20"/>
              </w:rPr>
              <w:t>65</w:t>
            </w:r>
          </w:p>
        </w:tc>
        <w:tc>
          <w:tcPr>
            <w:tcW w:w="810" w:type="dxa"/>
            <w:noWrap/>
            <w:vAlign w:val="center"/>
          </w:tcPr>
          <w:p w14:paraId="2C90AEA7" w14:textId="77777777" w:rsidR="006908EB" w:rsidRPr="006908EB" w:rsidRDefault="006908EB" w:rsidP="00EA2711">
            <w:pPr>
              <w:keepNext/>
              <w:tabs>
                <w:tab w:val="num" w:pos="0"/>
              </w:tabs>
              <w:contextualSpacing/>
              <w:jc w:val="center"/>
              <w:outlineLvl w:val="0"/>
              <w:rPr>
                <w:rFonts w:eastAsia="Times New Roman" w:cs="Calibri"/>
                <w:color w:val="000000"/>
                <w:sz w:val="20"/>
                <w:highlight w:val="yellow"/>
              </w:rPr>
            </w:pPr>
            <w:r w:rsidRPr="006908EB">
              <w:rPr>
                <w:rFonts w:eastAsia="Times New Roman" w:cs="Calibri"/>
                <w:color w:val="000000"/>
                <w:sz w:val="20"/>
              </w:rPr>
              <w:t>Not</w:t>
            </w:r>
            <w:r w:rsidR="00EA2711">
              <w:rPr>
                <w:rFonts w:eastAsia="Times New Roman" w:cs="Calibri"/>
                <w:color w:val="000000"/>
                <w:sz w:val="20"/>
              </w:rPr>
              <w:t xml:space="preserve"> S</w:t>
            </w:r>
            <w:r w:rsidRPr="006908EB">
              <w:rPr>
                <w:rFonts w:eastAsia="Times New Roman" w:cs="Calibri"/>
                <w:color w:val="000000"/>
                <w:sz w:val="20"/>
              </w:rPr>
              <w:t>et</w:t>
            </w:r>
          </w:p>
        </w:tc>
        <w:tc>
          <w:tcPr>
            <w:tcW w:w="1159" w:type="dxa"/>
            <w:noWrap/>
            <w:vAlign w:val="center"/>
          </w:tcPr>
          <w:p w14:paraId="45890533" w14:textId="77777777" w:rsidR="006908EB" w:rsidRPr="006908EB" w:rsidRDefault="006908EB" w:rsidP="00EA2711">
            <w:pPr>
              <w:keepNext/>
              <w:tabs>
                <w:tab w:val="num" w:pos="0"/>
              </w:tabs>
              <w:contextualSpacing/>
              <w:jc w:val="center"/>
              <w:outlineLvl w:val="0"/>
              <w:rPr>
                <w:rFonts w:eastAsia="Times New Roman" w:cs="Calibri"/>
                <w:color w:val="000000"/>
                <w:sz w:val="20"/>
                <w:highlight w:val="yellow"/>
              </w:rPr>
            </w:pPr>
            <w:r w:rsidRPr="006908EB">
              <w:rPr>
                <w:rFonts w:eastAsia="Times New Roman" w:cs="Calibri"/>
                <w:color w:val="000000"/>
                <w:sz w:val="20"/>
              </w:rPr>
              <w:t>N/A</w:t>
            </w:r>
          </w:p>
        </w:tc>
      </w:tr>
    </w:tbl>
    <w:p w14:paraId="7789A633" w14:textId="77777777" w:rsidR="006908EB" w:rsidRPr="006908EB" w:rsidRDefault="006908EB" w:rsidP="006908EB">
      <w:pPr>
        <w:spacing w:after="0" w:line="20" w:lineRule="atLeast"/>
        <w:rPr>
          <w:rFonts w:eastAsia="Times New Roman" w:cs="Times New Roman"/>
          <w:highlight w:val="yellow"/>
        </w:rPr>
      </w:pPr>
    </w:p>
    <w:p w14:paraId="76B9DD4C" w14:textId="77777777" w:rsidR="00BB5B6D" w:rsidRPr="004665FB" w:rsidRDefault="00426BE7" w:rsidP="002F3F1D">
      <w:pPr>
        <w:spacing w:after="0" w:line="20" w:lineRule="atLeast"/>
        <w:jc w:val="both"/>
      </w:pPr>
      <w:r w:rsidRPr="004665FB">
        <w:t xml:space="preserve">Of the </w:t>
      </w:r>
      <w:r>
        <w:t>seven</w:t>
      </w:r>
      <w:r w:rsidRPr="004665FB">
        <w:t xml:space="preserve"> outcome indicators</w:t>
      </w:r>
      <w:r>
        <w:t>, seven had established targets, two achieved their targets. Of the five output targets, only one had an established target, which was not achieved.</w:t>
      </w:r>
    </w:p>
    <w:p w14:paraId="536BA6AB" w14:textId="77777777" w:rsidR="00CA1FFD" w:rsidRDefault="00CA1FFD" w:rsidP="002F3F1D">
      <w:pPr>
        <w:spacing w:after="0" w:line="20" w:lineRule="atLeast"/>
        <w:jc w:val="both"/>
      </w:pPr>
    </w:p>
    <w:p w14:paraId="63E5C3EA" w14:textId="77777777" w:rsidR="00BB5B6D" w:rsidRDefault="00FF3BAE" w:rsidP="002F3F1D">
      <w:pPr>
        <w:spacing w:after="0" w:line="20" w:lineRule="atLeast"/>
        <w:jc w:val="both"/>
      </w:pPr>
      <w:r>
        <w:t xml:space="preserve">The output indicator related to females purchasing stoves was important for monitoring the extent to which both males and females were able to actively </w:t>
      </w:r>
      <w:r w:rsidR="00D06ADD">
        <w:t>benefit from</w:t>
      </w:r>
      <w:r>
        <w:t xml:space="preserve"> the program</w:t>
      </w:r>
      <w:r w:rsidR="0086450F">
        <w:t>, which was an assumption underlying the program logic</w:t>
      </w:r>
      <w:r w:rsidR="00CA1FFD">
        <w:t>. Female participation was relatively strong in the program, and a high share of female participants were from female-headed households. Female-headed households made up 29% of total beneficiaries</w:t>
      </w:r>
      <w:r w:rsidR="000C5FB8">
        <w:t xml:space="preserve"> </w:t>
      </w:r>
      <w:r w:rsidR="00C553CA">
        <w:t xml:space="preserve">receiving </w:t>
      </w:r>
      <w:r w:rsidR="000C5FB8">
        <w:t>subsidie</w:t>
      </w:r>
      <w:r w:rsidR="00C553CA">
        <w:t>s (for a stove or other product)</w:t>
      </w:r>
      <w:r w:rsidR="00F920F2">
        <w:t>.</w:t>
      </w:r>
      <w:r w:rsidR="00CA1FFD">
        <w:t xml:space="preserve">   </w:t>
      </w:r>
    </w:p>
    <w:p w14:paraId="0099C107" w14:textId="77777777" w:rsidR="00FF3BAE" w:rsidRDefault="00FF3BAE" w:rsidP="002F3F1D">
      <w:pPr>
        <w:spacing w:after="0" w:line="20" w:lineRule="atLeast"/>
        <w:jc w:val="both"/>
      </w:pPr>
    </w:p>
    <w:p w14:paraId="258ED4EE" w14:textId="77777777" w:rsidR="0093240A" w:rsidRDefault="0093240A" w:rsidP="002F3F1D">
      <w:pPr>
        <w:spacing w:line="20" w:lineRule="atLeast"/>
        <w:jc w:val="both"/>
      </w:pPr>
      <w:r>
        <w:t>The average completion rate of output and outcome targets is 67%. This figure does not take into account the four indicators without targets. Targets were achieved or exceeded in 2 of the 12 combined output and outcome indicators; equivalent to 17%.</w:t>
      </w:r>
    </w:p>
    <w:p w14:paraId="738B6874" w14:textId="77777777" w:rsidR="00AD7A12" w:rsidRDefault="00AD7A12" w:rsidP="00F87FAF">
      <w:pPr>
        <w:spacing w:after="0" w:line="20" w:lineRule="atLeast"/>
      </w:pPr>
    </w:p>
    <w:p w14:paraId="4633261C" w14:textId="77777777" w:rsidR="00FF3BAE" w:rsidRDefault="00FF3BAE" w:rsidP="00F87FAF">
      <w:pPr>
        <w:spacing w:after="0" w:line="20" w:lineRule="atLeast"/>
      </w:pPr>
    </w:p>
    <w:p w14:paraId="3349DB10" w14:textId="77777777" w:rsidR="00B82486" w:rsidRDefault="00B82486" w:rsidP="00F87FAF">
      <w:pPr>
        <w:spacing w:after="0" w:line="20" w:lineRule="atLeast"/>
        <w:rPr>
          <w:b/>
        </w:rPr>
      </w:pPr>
      <w:r>
        <w:rPr>
          <w:b/>
        </w:rPr>
        <w:t>Evaluation Questions</w:t>
      </w:r>
    </w:p>
    <w:p w14:paraId="3365B4F4" w14:textId="77777777" w:rsidR="00B82486" w:rsidRDefault="00B82486" w:rsidP="002F3F1D">
      <w:pPr>
        <w:spacing w:after="0" w:line="20" w:lineRule="atLeast"/>
        <w:jc w:val="both"/>
      </w:pPr>
      <w:r>
        <w:t xml:space="preserve">The evaluation was designed to answer </w:t>
      </w:r>
      <w:r w:rsidR="00AF49A8">
        <w:t xml:space="preserve">two primary </w:t>
      </w:r>
      <w:r>
        <w:t>ques</w:t>
      </w:r>
      <w:r w:rsidR="00AF49A8">
        <w:t>tion</w:t>
      </w:r>
      <w:r w:rsidR="002D479E">
        <w:t>s</w:t>
      </w:r>
      <w:r w:rsidR="00AF49A8">
        <w:t>, each with its own set of sub-questions</w:t>
      </w:r>
      <w:r>
        <w:t>:</w:t>
      </w:r>
    </w:p>
    <w:p w14:paraId="5FDBBAB2" w14:textId="77777777" w:rsidR="00B82486" w:rsidRDefault="00C11EF0" w:rsidP="002F3F1D">
      <w:pPr>
        <w:pStyle w:val="ListParagraph"/>
        <w:numPr>
          <w:ilvl w:val="0"/>
          <w:numId w:val="2"/>
        </w:numPr>
        <w:spacing w:after="0" w:line="20" w:lineRule="atLeast"/>
        <w:ind w:left="360"/>
        <w:jc w:val="both"/>
      </w:pPr>
      <w:r>
        <w:t xml:space="preserve">How do energy-efficient products impact ambient air pollution levels, </w:t>
      </w:r>
      <w:r w:rsidR="00355A53">
        <w:t>as well as the</w:t>
      </w:r>
      <w:r>
        <w:t xml:space="preserve"> health and income of residents in Ulaanbaatar?</w:t>
      </w:r>
    </w:p>
    <w:p w14:paraId="0B963880" w14:textId="77777777" w:rsidR="00AF49A8" w:rsidRDefault="00AF49A8" w:rsidP="002F3F1D">
      <w:pPr>
        <w:pStyle w:val="ListParagraph"/>
        <w:numPr>
          <w:ilvl w:val="1"/>
          <w:numId w:val="2"/>
        </w:numPr>
        <w:spacing w:after="0" w:line="20" w:lineRule="atLeast"/>
        <w:ind w:left="1080"/>
        <w:jc w:val="both"/>
      </w:pPr>
      <w:r>
        <w:t>How does the use of MCA stoves affect fuel usage and expenditures?</w:t>
      </w:r>
    </w:p>
    <w:p w14:paraId="1D024751" w14:textId="77777777" w:rsidR="00AF49A8" w:rsidRDefault="00AF49A8" w:rsidP="002F3F1D">
      <w:pPr>
        <w:pStyle w:val="ListParagraph"/>
        <w:numPr>
          <w:ilvl w:val="1"/>
          <w:numId w:val="2"/>
        </w:numPr>
        <w:spacing w:after="0" w:line="20" w:lineRule="atLeast"/>
        <w:ind w:left="1080"/>
        <w:jc w:val="both"/>
      </w:pPr>
      <w:r>
        <w:t>Does the use of MCA stoves affect available household income?</w:t>
      </w:r>
    </w:p>
    <w:p w14:paraId="7B76A678" w14:textId="77777777" w:rsidR="00AF49A8" w:rsidRDefault="00AF49A8" w:rsidP="002F3F1D">
      <w:pPr>
        <w:pStyle w:val="ListParagraph"/>
        <w:numPr>
          <w:ilvl w:val="1"/>
          <w:numId w:val="2"/>
        </w:numPr>
        <w:spacing w:after="0" w:line="20" w:lineRule="atLeast"/>
        <w:ind w:left="1080"/>
        <w:jc w:val="both"/>
      </w:pPr>
      <w:r>
        <w:t>What is the impact of MCA stoves on emissions of CO and PM</w:t>
      </w:r>
      <w:r>
        <w:rPr>
          <w:vertAlign w:val="subscript"/>
        </w:rPr>
        <w:t>2.5</w:t>
      </w:r>
      <w:r>
        <w:t>?</w:t>
      </w:r>
    </w:p>
    <w:p w14:paraId="11DD44B4" w14:textId="77777777" w:rsidR="00AF49A8" w:rsidRDefault="00AF49A8" w:rsidP="002F3F1D">
      <w:pPr>
        <w:pStyle w:val="ListParagraph"/>
        <w:numPr>
          <w:ilvl w:val="1"/>
          <w:numId w:val="2"/>
        </w:numPr>
        <w:spacing w:after="0" w:line="20" w:lineRule="atLeast"/>
        <w:ind w:left="1080"/>
        <w:jc w:val="both"/>
      </w:pPr>
      <w:r>
        <w:t>What would be the estimated change in health for Ulaanbaatar residents?</w:t>
      </w:r>
    </w:p>
    <w:p w14:paraId="70A171A6" w14:textId="77777777" w:rsidR="00854C3A" w:rsidRDefault="00854C3A" w:rsidP="002F3F1D">
      <w:pPr>
        <w:pStyle w:val="ListParagraph"/>
        <w:numPr>
          <w:ilvl w:val="1"/>
          <w:numId w:val="2"/>
        </w:numPr>
        <w:spacing w:after="0" w:line="20" w:lineRule="atLeast"/>
        <w:ind w:left="1080"/>
        <w:jc w:val="both"/>
      </w:pPr>
      <w:r>
        <w:t>How do MCA stoves affect household expenditures related to respiratory health problems?</w:t>
      </w:r>
    </w:p>
    <w:p w14:paraId="7C91D959" w14:textId="77777777" w:rsidR="00B82486" w:rsidRDefault="00C11EF0" w:rsidP="002F3F1D">
      <w:pPr>
        <w:pStyle w:val="ListParagraph"/>
        <w:numPr>
          <w:ilvl w:val="0"/>
          <w:numId w:val="2"/>
        </w:numPr>
        <w:spacing w:after="0" w:line="20" w:lineRule="atLeast"/>
        <w:ind w:left="360"/>
        <w:jc w:val="both"/>
      </w:pPr>
      <w:r>
        <w:t>How do different MCA stove models and different patterns of usage affect the level of impact on ambient air pollution, health and income of households with MCA stoves?</w:t>
      </w:r>
    </w:p>
    <w:p w14:paraId="024C28D7" w14:textId="77777777" w:rsidR="00854C3A" w:rsidRDefault="00854C3A" w:rsidP="002F3F1D">
      <w:pPr>
        <w:pStyle w:val="ListParagraph"/>
        <w:numPr>
          <w:ilvl w:val="1"/>
          <w:numId w:val="2"/>
        </w:numPr>
        <w:spacing w:after="0" w:line="20" w:lineRule="atLeast"/>
        <w:ind w:left="1080"/>
        <w:jc w:val="both"/>
      </w:pPr>
      <w:r>
        <w:t>Do different MCA stove model types impact fuel expenditures, income, and PM</w:t>
      </w:r>
      <w:r>
        <w:rPr>
          <w:vertAlign w:val="subscript"/>
        </w:rPr>
        <w:t>2.5</w:t>
      </w:r>
      <w:r>
        <w:t xml:space="preserve"> emissions under typical usage behavior?</w:t>
      </w:r>
    </w:p>
    <w:p w14:paraId="3EC77D2C" w14:textId="77777777" w:rsidR="00854C3A" w:rsidRDefault="00854C3A" w:rsidP="002F3F1D">
      <w:pPr>
        <w:pStyle w:val="ListParagraph"/>
        <w:numPr>
          <w:ilvl w:val="1"/>
          <w:numId w:val="2"/>
        </w:numPr>
        <w:spacing w:after="0" w:line="20" w:lineRule="atLeast"/>
        <w:ind w:left="1080"/>
        <w:jc w:val="both"/>
      </w:pPr>
      <w:r>
        <w:t>Do deviations from expected MCA stove usage patterns impact air pollution, health, and income of households with MCA stoves?</w:t>
      </w:r>
    </w:p>
    <w:p w14:paraId="0619DC41" w14:textId="77777777" w:rsidR="00854C3A" w:rsidRDefault="00854C3A" w:rsidP="002F3F1D">
      <w:pPr>
        <w:pStyle w:val="ListParagraph"/>
        <w:numPr>
          <w:ilvl w:val="1"/>
          <w:numId w:val="2"/>
        </w:numPr>
        <w:spacing w:after="0" w:line="20" w:lineRule="atLeast"/>
        <w:ind w:left="1080"/>
        <w:jc w:val="both"/>
      </w:pPr>
      <w:r>
        <w:t>Did the MCA stove program result in differential impacts on men and women?</w:t>
      </w:r>
    </w:p>
    <w:p w14:paraId="292356DF" w14:textId="77777777" w:rsidR="00854C3A" w:rsidRDefault="00854C3A" w:rsidP="002F3F1D">
      <w:pPr>
        <w:pStyle w:val="ListParagraph"/>
        <w:numPr>
          <w:ilvl w:val="1"/>
          <w:numId w:val="2"/>
        </w:numPr>
        <w:spacing w:after="0" w:line="20" w:lineRule="atLeast"/>
        <w:ind w:left="1080"/>
        <w:jc w:val="both"/>
      </w:pPr>
      <w:r>
        <w:t xml:space="preserve">Does possession of additional energy efficient products such as vestibules or additional ger insulation modify </w:t>
      </w:r>
      <w:r w:rsidR="00F60430">
        <w:t>the impact of MCA stoves on ambient air pollution, health, and income?</w:t>
      </w:r>
    </w:p>
    <w:p w14:paraId="4BC877C3" w14:textId="77777777" w:rsidR="00B82486" w:rsidRDefault="00B82486" w:rsidP="002F3F1D">
      <w:pPr>
        <w:spacing w:after="0" w:line="20" w:lineRule="atLeast"/>
        <w:jc w:val="both"/>
      </w:pPr>
    </w:p>
    <w:p w14:paraId="64A74A01" w14:textId="77777777" w:rsidR="00B82486" w:rsidRDefault="00B82486" w:rsidP="00F87FAF">
      <w:pPr>
        <w:spacing w:after="0" w:line="20" w:lineRule="atLeast"/>
      </w:pPr>
    </w:p>
    <w:p w14:paraId="00CF0439" w14:textId="77777777" w:rsidR="00B82486" w:rsidRDefault="00B82486" w:rsidP="00F87FAF">
      <w:pPr>
        <w:spacing w:after="0" w:line="20" w:lineRule="atLeast"/>
        <w:rPr>
          <w:b/>
        </w:rPr>
      </w:pPr>
      <w:r>
        <w:rPr>
          <w:b/>
        </w:rPr>
        <w:lastRenderedPageBreak/>
        <w:t>Evaluation Results</w:t>
      </w:r>
    </w:p>
    <w:p w14:paraId="20E1BBDA" w14:textId="77777777" w:rsidR="00176AB5" w:rsidRDefault="00176AB5" w:rsidP="002F3F1D">
      <w:pPr>
        <w:autoSpaceDE w:val="0"/>
        <w:autoSpaceDN w:val="0"/>
        <w:adjustRightInd w:val="0"/>
        <w:spacing w:after="0" w:line="240" w:lineRule="auto"/>
        <w:jc w:val="both"/>
      </w:pPr>
      <w:r w:rsidRPr="0008776C">
        <w:t>As a market-based intervention, households chose whether</w:t>
      </w:r>
      <w:r w:rsidR="006529A1">
        <w:t xml:space="preserve"> or not</w:t>
      </w:r>
      <w:r w:rsidRPr="0008776C">
        <w:t xml:space="preserve"> to purchase an MCA stove</w:t>
      </w:r>
      <w:r>
        <w:t xml:space="preserve"> (or other subsidized product)</w:t>
      </w:r>
      <w:r w:rsidRPr="0008776C">
        <w:t>. Since a</w:t>
      </w:r>
      <w:r>
        <w:t xml:space="preserve"> r</w:t>
      </w:r>
      <w:r w:rsidRPr="0008776C">
        <w:t>andomized intervention</w:t>
      </w:r>
      <w:r>
        <w:t xml:space="preserve"> </w:t>
      </w:r>
      <w:r w:rsidRPr="0008776C">
        <w:t>assignment was not possible and the evaluation was implemented after the project had started, a quasi-experimental</w:t>
      </w:r>
      <w:r>
        <w:t xml:space="preserve"> </w:t>
      </w:r>
      <w:r w:rsidRPr="0008776C">
        <w:t>propensity score matching (PSM) design was selected to adjust for differences between those who d</w:t>
      </w:r>
      <w:r w:rsidR="0049731E">
        <w:t>id</w:t>
      </w:r>
      <w:r w:rsidRPr="0008776C">
        <w:t xml:space="preserve"> or d</w:t>
      </w:r>
      <w:r w:rsidR="0049731E">
        <w:t>id</w:t>
      </w:r>
      <w:r w:rsidRPr="0008776C">
        <w:t xml:space="preserve"> not choose</w:t>
      </w:r>
      <w:r>
        <w:t xml:space="preserve"> </w:t>
      </w:r>
      <w:r w:rsidRPr="0008776C">
        <w:t>to purchase an MCA stove. Matching on propensity scores enabled construction of treatment and comparison groups</w:t>
      </w:r>
      <w:r>
        <w:t xml:space="preserve"> </w:t>
      </w:r>
      <w:r w:rsidRPr="0008776C">
        <w:t xml:space="preserve">that were balanced along observed </w:t>
      </w:r>
      <w:r>
        <w:t xml:space="preserve">household </w:t>
      </w:r>
      <w:r w:rsidRPr="0008776C">
        <w:t xml:space="preserve">characteristics, thereby providing a counterfactual for the intervention. </w:t>
      </w:r>
    </w:p>
    <w:p w14:paraId="0EF05611" w14:textId="77777777" w:rsidR="00493C06" w:rsidRPr="0008776C" w:rsidRDefault="00493C06" w:rsidP="002F3F1D">
      <w:pPr>
        <w:autoSpaceDE w:val="0"/>
        <w:autoSpaceDN w:val="0"/>
        <w:adjustRightInd w:val="0"/>
        <w:spacing w:after="0" w:line="240" w:lineRule="auto"/>
        <w:jc w:val="both"/>
      </w:pPr>
    </w:p>
    <w:p w14:paraId="35228E2D" w14:textId="77777777" w:rsidR="006529A1" w:rsidRDefault="006529A1" w:rsidP="002F3F1D">
      <w:pPr>
        <w:jc w:val="both"/>
      </w:pPr>
      <w:r>
        <w:t>While key results are presented in the table below and available in the report, it is important to note to</w:t>
      </w:r>
      <w:r w:rsidR="0033371B">
        <w:t xml:space="preserve"> the</w:t>
      </w:r>
      <w:r>
        <w:t xml:space="preserve"> findings</w:t>
      </w:r>
      <w:r w:rsidR="0033371B">
        <w:t xml:space="preserve">: </w:t>
      </w:r>
      <w:r>
        <w:t xml:space="preserve"> First, evaluation findings note that h</w:t>
      </w:r>
      <w:r w:rsidRPr="0099162E">
        <w:t xml:space="preserve">ouseholds using MCA stoves </w:t>
      </w:r>
      <w:r w:rsidR="0033371B">
        <w:t xml:space="preserve">experienced little to no fuel savings but that they </w:t>
      </w:r>
      <w:r w:rsidRPr="0099162E">
        <w:t xml:space="preserve">enjoyed </w:t>
      </w:r>
      <w:r w:rsidRPr="00047079">
        <w:t>statistically significant</w:t>
      </w:r>
      <w:r>
        <w:rPr>
          <w:rStyle w:val="FootnoteReference"/>
        </w:rPr>
        <w:footnoteReference w:id="11"/>
      </w:r>
      <w:r w:rsidRPr="00047079">
        <w:t xml:space="preserve"> higher </w:t>
      </w:r>
      <w:r>
        <w:t xml:space="preserve">average nightly </w:t>
      </w:r>
      <w:r w:rsidRPr="00047079">
        <w:t>indoor temperatures</w:t>
      </w:r>
      <w:r>
        <w:t>,</w:t>
      </w:r>
      <w:r w:rsidRPr="0099162E">
        <w:t xml:space="preserve"> suggesting that users may be sacrificing fuel economy for comfort</w:t>
      </w:r>
      <w:r>
        <w:t>. Overnight indoor temperature measurements (when most household members are likely to be home and the dwelling requires consistent heating) during the latter (colder) part of winter showed MCA stove owners maintained 17.55°C (63.59°F) indoor temperatures compared to traditional stove owners, who had 15.70°C (60.26°F</w:t>
      </w:r>
      <w:r w:rsidRPr="004C37A2">
        <w:t>).</w:t>
      </w:r>
      <w:r w:rsidRPr="004C37A2">
        <w:rPr>
          <w:color w:val="FF0000"/>
        </w:rPr>
        <w:t xml:space="preserve"> </w:t>
      </w:r>
    </w:p>
    <w:p w14:paraId="09B514D4" w14:textId="77777777" w:rsidR="00924E88" w:rsidRDefault="006529A1" w:rsidP="002F3F1D">
      <w:pPr>
        <w:jc w:val="both"/>
      </w:pPr>
      <w:r>
        <w:t>Second, w</w:t>
      </w:r>
      <w:r w:rsidR="0041513B">
        <w:t xml:space="preserve">hen examining the gender dynamics of stove preference and usage of the sampled population, the data indicate that the </w:t>
      </w:r>
      <w:r w:rsidR="000729E5">
        <w:t>impacts</w:t>
      </w:r>
      <w:r w:rsidR="0041513B">
        <w:t xml:space="preserve"> of this activity did not system</w:t>
      </w:r>
      <w:r w:rsidR="00F07A0A">
        <w:t>at</w:t>
      </w:r>
      <w:r w:rsidR="0041513B">
        <w:t>ically vary by gender</w:t>
      </w:r>
      <w:r w:rsidR="0086450F">
        <w:t>, confirming the assumption underlying the program logic</w:t>
      </w:r>
      <w:r w:rsidR="0041513B">
        <w:t xml:space="preserve">. </w:t>
      </w:r>
      <w:r w:rsidR="000729E5">
        <w:t>N</w:t>
      </w:r>
      <w:r w:rsidR="00716955">
        <w:t xml:space="preserve">o significant </w:t>
      </w:r>
      <w:r w:rsidR="0041513B">
        <w:t xml:space="preserve">gender </w:t>
      </w:r>
      <w:r w:rsidR="00716955">
        <w:t xml:space="preserve">differences between males and females </w:t>
      </w:r>
      <w:r w:rsidR="0041513B">
        <w:t xml:space="preserve">were observed </w:t>
      </w:r>
      <w:r w:rsidR="00716955">
        <w:t xml:space="preserve">for </w:t>
      </w:r>
      <w:r w:rsidR="004A18FC">
        <w:t xml:space="preserve">a) </w:t>
      </w:r>
      <w:r w:rsidR="00716955">
        <w:t xml:space="preserve">coal consumption, </w:t>
      </w:r>
      <w:r w:rsidR="004A18FC">
        <w:t xml:space="preserve">b) </w:t>
      </w:r>
      <w:r w:rsidR="00716955">
        <w:t xml:space="preserve">type of coal used, </w:t>
      </w:r>
      <w:r w:rsidR="004A18FC">
        <w:t xml:space="preserve">c) </w:t>
      </w:r>
      <w:r w:rsidR="00A05985">
        <w:t xml:space="preserve">compliance with operation instructions, </w:t>
      </w:r>
      <w:r w:rsidR="002D4A7F">
        <w:t>d</w:t>
      </w:r>
      <w:r w:rsidR="004A18FC">
        <w:t xml:space="preserve">) </w:t>
      </w:r>
      <w:r w:rsidR="00716955">
        <w:t xml:space="preserve">opinions of MCA stove performance, </w:t>
      </w:r>
      <w:r w:rsidR="00820D81">
        <w:t>or</w:t>
      </w:r>
      <w:r w:rsidR="00E04E69">
        <w:t xml:space="preserve"> </w:t>
      </w:r>
      <w:r w:rsidR="002D4A7F">
        <w:t>e</w:t>
      </w:r>
      <w:r w:rsidR="0041513B">
        <w:t xml:space="preserve">) </w:t>
      </w:r>
      <w:r w:rsidR="00E04E69">
        <w:t>those experiencing illnesses.</w:t>
      </w:r>
      <w:r w:rsidR="00820D81">
        <w:t xml:space="preserve"> However, </w:t>
      </w:r>
      <w:r w:rsidR="0041513B">
        <w:t xml:space="preserve">it is noted that </w:t>
      </w:r>
      <w:r w:rsidR="00820D81">
        <w:t>amongst female-headed households only, MCA stove owners were found to spend</w:t>
      </w:r>
      <w:r w:rsidR="0041513B">
        <w:t xml:space="preserve"> (</w:t>
      </w:r>
      <w:r w:rsidR="00820D81">
        <w:t>on average</w:t>
      </w:r>
      <w:r w:rsidR="0041513B">
        <w:t xml:space="preserve">) </w:t>
      </w:r>
      <w:r w:rsidR="00820D81">
        <w:t>20.6% more on coal every month when compared to traditional stove owners.</w:t>
      </w:r>
      <w:r w:rsidR="0099162E">
        <w:t xml:space="preserve"> </w:t>
      </w:r>
      <w:r w:rsidR="003D2CDF">
        <w:t>P</w:t>
      </w:r>
      <w:r w:rsidR="00924E88">
        <w:t>roject results indicate</w:t>
      </w:r>
      <w:r w:rsidR="003D2CDF">
        <w:t>d</w:t>
      </w:r>
      <w:r w:rsidR="00924E88">
        <w:t xml:space="preserve"> that female clients and female-headed households were more likely to tak</w:t>
      </w:r>
      <w:r w:rsidR="0033371B">
        <w:t>e</w:t>
      </w:r>
      <w:r w:rsidR="00924E88">
        <w:t xml:space="preserve"> advantage of </w:t>
      </w:r>
      <w:r w:rsidR="0033371B">
        <w:t xml:space="preserve">bank </w:t>
      </w:r>
      <w:r w:rsidR="00924E88">
        <w:t>loan</w:t>
      </w:r>
      <w:r w:rsidR="0033371B">
        <w:t>s</w:t>
      </w:r>
      <w:r w:rsidR="00924E88">
        <w:t xml:space="preserve"> (beneficiaries could elect to make a purchase via cash or via loan).</w:t>
      </w:r>
      <w:r w:rsidR="00DB7367">
        <w:t xml:space="preserve"> While female-headed households comprised 29% of </w:t>
      </w:r>
      <w:r w:rsidR="0033371B">
        <w:t>sales</w:t>
      </w:r>
      <w:r w:rsidR="00DB7367">
        <w:t xml:space="preserve">, 38% of these women selected to purchase stoves </w:t>
      </w:r>
      <w:r w:rsidR="0033371B">
        <w:t xml:space="preserve">using </w:t>
      </w:r>
      <w:r w:rsidR="00DB7367">
        <w:t>loans. Impact evaluation data indicate that female-headed households were more interested in the advertised fuel savings</w:t>
      </w:r>
      <w:r w:rsidR="003D2CDF">
        <w:t xml:space="preserve"> and were twice as likely to cite the subsidy and the resulting low price as a reason to purchase the stove</w:t>
      </w:r>
      <w:r w:rsidR="00DB7367">
        <w:t xml:space="preserve">, perhaps due to being in a financially more vulnerable position. </w:t>
      </w:r>
      <w:r w:rsidR="003D2CDF">
        <w:t>This suggest</w:t>
      </w:r>
      <w:r w:rsidR="00F07A0A">
        <w:t>s</w:t>
      </w:r>
      <w:r w:rsidR="003D2CDF">
        <w:t xml:space="preserve"> that the subsidy itself may have been a crucial component in en</w:t>
      </w:r>
      <w:r w:rsidR="003E385E">
        <w:t>surin</w:t>
      </w:r>
      <w:r w:rsidR="003D2CDF">
        <w:t xml:space="preserve">g benefits to females and female-headed households. </w:t>
      </w:r>
      <w:r w:rsidR="00DB7367">
        <w:t>Among those who did not want</w:t>
      </w:r>
      <w:r w:rsidR="00DB7367" w:rsidRPr="00CE0F4C">
        <w:t xml:space="preserve"> to purchase an MCA stove, a larger proportion of female</w:t>
      </w:r>
      <w:r w:rsidR="003E385E">
        <w:t>s</w:t>
      </w:r>
      <w:r w:rsidR="00DB7367" w:rsidRPr="00CE0F4C">
        <w:t xml:space="preserve"> cited difficulty with cooking as a primary reason</w:t>
      </w:r>
      <w:r w:rsidR="00DB7367">
        <w:t xml:space="preserve">. </w:t>
      </w:r>
    </w:p>
    <w:tbl>
      <w:tblPr>
        <w:tblW w:w="9620" w:type="dxa"/>
        <w:tblLook w:val="04A0" w:firstRow="1" w:lastRow="0" w:firstColumn="1" w:lastColumn="0" w:noHBand="0" w:noVBand="1"/>
      </w:tblPr>
      <w:tblGrid>
        <w:gridCol w:w="2620"/>
        <w:gridCol w:w="7000"/>
      </w:tblGrid>
      <w:tr w:rsidR="009A5D73" w:rsidRPr="009A5D73" w14:paraId="4DE43C92" w14:textId="77777777" w:rsidTr="00096024">
        <w:trPr>
          <w:trHeight w:val="300"/>
        </w:trPr>
        <w:tc>
          <w:tcPr>
            <w:tcW w:w="9620" w:type="dxa"/>
            <w:gridSpan w:val="2"/>
            <w:tcBorders>
              <w:top w:val="single" w:sz="8" w:space="0" w:color="auto"/>
              <w:left w:val="single" w:sz="8" w:space="0" w:color="auto"/>
              <w:bottom w:val="single" w:sz="4" w:space="0" w:color="auto"/>
              <w:right w:val="single" w:sz="8" w:space="0" w:color="000000"/>
            </w:tcBorders>
            <w:shd w:val="clear" w:color="000000" w:fill="D9D9D9"/>
            <w:noWrap/>
            <w:vAlign w:val="bottom"/>
            <w:hideMark/>
          </w:tcPr>
          <w:p w14:paraId="02ECB4E4" w14:textId="77777777" w:rsidR="009A5D73" w:rsidRPr="009A5D73" w:rsidRDefault="009A5D73" w:rsidP="009A5D73">
            <w:pPr>
              <w:spacing w:after="0" w:line="240" w:lineRule="auto"/>
              <w:jc w:val="center"/>
              <w:rPr>
                <w:rFonts w:ascii="Calibri" w:eastAsia="Times New Roman" w:hAnsi="Calibri" w:cs="Times New Roman"/>
                <w:color w:val="000000"/>
              </w:rPr>
            </w:pPr>
            <w:r w:rsidRPr="009A5D73">
              <w:rPr>
                <w:rFonts w:ascii="Calibri" w:eastAsia="Times New Roman" w:hAnsi="Calibri" w:cs="Times New Roman"/>
                <w:color w:val="000000"/>
              </w:rPr>
              <w:t> </w:t>
            </w:r>
          </w:p>
        </w:tc>
      </w:tr>
      <w:tr w:rsidR="009A5D73" w:rsidRPr="009A5D73" w14:paraId="44DC87F9" w14:textId="77777777" w:rsidTr="00096024">
        <w:trPr>
          <w:trHeight w:val="300"/>
        </w:trPr>
        <w:tc>
          <w:tcPr>
            <w:tcW w:w="2620" w:type="dxa"/>
            <w:tcBorders>
              <w:top w:val="nil"/>
              <w:left w:val="single" w:sz="8" w:space="0" w:color="auto"/>
              <w:bottom w:val="single" w:sz="4" w:space="0" w:color="auto"/>
              <w:right w:val="single" w:sz="4" w:space="0" w:color="auto"/>
            </w:tcBorders>
            <w:shd w:val="clear" w:color="auto" w:fill="auto"/>
            <w:noWrap/>
            <w:vAlign w:val="center"/>
            <w:hideMark/>
          </w:tcPr>
          <w:p w14:paraId="47F495E7" w14:textId="77777777" w:rsidR="009A5D73" w:rsidRPr="009A5D73" w:rsidRDefault="009A5D73" w:rsidP="009A5D73">
            <w:pPr>
              <w:spacing w:after="0" w:line="240" w:lineRule="auto"/>
              <w:rPr>
                <w:rFonts w:ascii="Calibri" w:eastAsia="Times New Roman" w:hAnsi="Calibri" w:cs="Times New Roman"/>
                <w:b/>
                <w:bCs/>
                <w:color w:val="000000"/>
              </w:rPr>
            </w:pPr>
            <w:r w:rsidRPr="009A5D73">
              <w:rPr>
                <w:rFonts w:ascii="Calibri" w:eastAsia="Times New Roman" w:hAnsi="Calibri" w:cs="Times New Roman"/>
                <w:b/>
                <w:bCs/>
                <w:color w:val="000000"/>
              </w:rPr>
              <w:t>Evaluator</w:t>
            </w:r>
          </w:p>
        </w:tc>
        <w:tc>
          <w:tcPr>
            <w:tcW w:w="7000" w:type="dxa"/>
            <w:tcBorders>
              <w:top w:val="nil"/>
              <w:left w:val="nil"/>
              <w:bottom w:val="single" w:sz="4" w:space="0" w:color="auto"/>
              <w:right w:val="single" w:sz="8" w:space="0" w:color="auto"/>
            </w:tcBorders>
            <w:shd w:val="clear" w:color="auto" w:fill="auto"/>
            <w:vAlign w:val="center"/>
            <w:hideMark/>
          </w:tcPr>
          <w:p w14:paraId="0D27A473" w14:textId="77777777" w:rsidR="009A5D73" w:rsidRPr="009A5D73" w:rsidRDefault="009A5D73" w:rsidP="009A5D73">
            <w:pPr>
              <w:spacing w:after="0" w:line="240" w:lineRule="auto"/>
              <w:rPr>
                <w:rFonts w:ascii="Calibri" w:eastAsia="Times New Roman" w:hAnsi="Calibri" w:cs="Times New Roman"/>
                <w:color w:val="000000"/>
              </w:rPr>
            </w:pPr>
            <w:r w:rsidRPr="009A5D73">
              <w:rPr>
                <w:rFonts w:ascii="Calibri" w:eastAsia="Times New Roman" w:hAnsi="Calibri" w:cs="Times New Roman"/>
                <w:color w:val="000000"/>
              </w:rPr>
              <w:t>Social Impact</w:t>
            </w:r>
          </w:p>
        </w:tc>
      </w:tr>
      <w:tr w:rsidR="009A5D73" w:rsidRPr="009A5D73" w14:paraId="7F6150A4" w14:textId="77777777" w:rsidTr="00096024">
        <w:trPr>
          <w:trHeight w:val="300"/>
        </w:trPr>
        <w:tc>
          <w:tcPr>
            <w:tcW w:w="2620" w:type="dxa"/>
            <w:tcBorders>
              <w:top w:val="nil"/>
              <w:left w:val="single" w:sz="8" w:space="0" w:color="auto"/>
              <w:bottom w:val="single" w:sz="4" w:space="0" w:color="auto"/>
              <w:right w:val="single" w:sz="4" w:space="0" w:color="auto"/>
            </w:tcBorders>
            <w:shd w:val="clear" w:color="auto" w:fill="auto"/>
            <w:noWrap/>
            <w:vAlign w:val="center"/>
            <w:hideMark/>
          </w:tcPr>
          <w:p w14:paraId="5B593E23" w14:textId="77777777" w:rsidR="009A5D73" w:rsidRPr="009A5D73" w:rsidRDefault="009A5D73" w:rsidP="009A5D73">
            <w:pPr>
              <w:spacing w:after="0" w:line="240" w:lineRule="auto"/>
              <w:rPr>
                <w:rFonts w:ascii="Calibri" w:eastAsia="Times New Roman" w:hAnsi="Calibri" w:cs="Times New Roman"/>
                <w:b/>
                <w:bCs/>
                <w:color w:val="000000"/>
              </w:rPr>
            </w:pPr>
            <w:r w:rsidRPr="009A5D73">
              <w:rPr>
                <w:rFonts w:ascii="Calibri" w:eastAsia="Times New Roman" w:hAnsi="Calibri" w:cs="Times New Roman"/>
                <w:b/>
                <w:bCs/>
                <w:color w:val="000000"/>
              </w:rPr>
              <w:t>Evaluation Type</w:t>
            </w:r>
          </w:p>
        </w:tc>
        <w:tc>
          <w:tcPr>
            <w:tcW w:w="7000" w:type="dxa"/>
            <w:tcBorders>
              <w:top w:val="nil"/>
              <w:left w:val="nil"/>
              <w:bottom w:val="single" w:sz="4" w:space="0" w:color="auto"/>
              <w:right w:val="single" w:sz="8" w:space="0" w:color="auto"/>
            </w:tcBorders>
            <w:shd w:val="clear" w:color="auto" w:fill="auto"/>
            <w:vAlign w:val="center"/>
            <w:hideMark/>
          </w:tcPr>
          <w:p w14:paraId="09B1A706" w14:textId="77777777" w:rsidR="009A5D73" w:rsidRPr="009A5D73" w:rsidRDefault="00EC7953" w:rsidP="009A5D73">
            <w:pPr>
              <w:spacing w:after="0" w:line="240" w:lineRule="auto"/>
              <w:rPr>
                <w:rFonts w:ascii="Calibri" w:eastAsia="Times New Roman" w:hAnsi="Calibri" w:cs="Times New Roman"/>
                <w:color w:val="000000"/>
              </w:rPr>
            </w:pPr>
            <w:r>
              <w:rPr>
                <w:rFonts w:ascii="Calibri" w:eastAsia="Times New Roman" w:hAnsi="Calibri" w:cs="Times New Roman"/>
                <w:color w:val="000000"/>
              </w:rPr>
              <w:t>Impact</w:t>
            </w:r>
          </w:p>
        </w:tc>
      </w:tr>
      <w:tr w:rsidR="009A5D73" w:rsidRPr="009A5D73" w14:paraId="56E6B310" w14:textId="77777777" w:rsidTr="00096024">
        <w:trPr>
          <w:trHeight w:val="300"/>
        </w:trPr>
        <w:tc>
          <w:tcPr>
            <w:tcW w:w="2620" w:type="dxa"/>
            <w:tcBorders>
              <w:top w:val="nil"/>
              <w:left w:val="single" w:sz="8" w:space="0" w:color="auto"/>
              <w:bottom w:val="single" w:sz="4" w:space="0" w:color="auto"/>
              <w:right w:val="single" w:sz="4" w:space="0" w:color="auto"/>
            </w:tcBorders>
            <w:shd w:val="clear" w:color="auto" w:fill="auto"/>
            <w:noWrap/>
            <w:vAlign w:val="center"/>
            <w:hideMark/>
          </w:tcPr>
          <w:p w14:paraId="535F9E03" w14:textId="77777777" w:rsidR="009A5D73" w:rsidRPr="009A5D73" w:rsidRDefault="009A5D73" w:rsidP="009A5D73">
            <w:pPr>
              <w:spacing w:after="0" w:line="240" w:lineRule="auto"/>
              <w:rPr>
                <w:rFonts w:ascii="Calibri" w:eastAsia="Times New Roman" w:hAnsi="Calibri" w:cs="Times New Roman"/>
                <w:b/>
                <w:bCs/>
                <w:color w:val="000000"/>
              </w:rPr>
            </w:pPr>
            <w:r w:rsidRPr="009A5D73">
              <w:rPr>
                <w:rFonts w:ascii="Calibri" w:eastAsia="Times New Roman" w:hAnsi="Calibri" w:cs="Times New Roman"/>
                <w:b/>
                <w:bCs/>
                <w:color w:val="000000"/>
              </w:rPr>
              <w:t>Methodology</w:t>
            </w:r>
          </w:p>
        </w:tc>
        <w:tc>
          <w:tcPr>
            <w:tcW w:w="7000" w:type="dxa"/>
            <w:tcBorders>
              <w:top w:val="nil"/>
              <w:left w:val="nil"/>
              <w:bottom w:val="single" w:sz="4" w:space="0" w:color="auto"/>
              <w:right w:val="single" w:sz="8" w:space="0" w:color="auto"/>
            </w:tcBorders>
            <w:shd w:val="clear" w:color="auto" w:fill="auto"/>
            <w:vAlign w:val="center"/>
            <w:hideMark/>
          </w:tcPr>
          <w:p w14:paraId="163DAB70" w14:textId="77777777" w:rsidR="009A5D73" w:rsidRPr="009A5D73" w:rsidRDefault="009A5D73" w:rsidP="009A5D73">
            <w:pPr>
              <w:spacing w:after="0" w:line="240" w:lineRule="auto"/>
              <w:rPr>
                <w:rFonts w:ascii="Calibri" w:eastAsia="Times New Roman" w:hAnsi="Calibri" w:cs="Times New Roman"/>
                <w:color w:val="000000"/>
              </w:rPr>
            </w:pPr>
            <w:r w:rsidRPr="009A5D73">
              <w:rPr>
                <w:rFonts w:ascii="Calibri" w:eastAsia="Times New Roman" w:hAnsi="Calibri" w:cs="Times New Roman"/>
                <w:color w:val="000000"/>
              </w:rPr>
              <w:t>Quasi-experimental propensity score matching</w:t>
            </w:r>
          </w:p>
        </w:tc>
      </w:tr>
      <w:tr w:rsidR="009A5D73" w:rsidRPr="009A5D73" w14:paraId="299D041B" w14:textId="77777777" w:rsidTr="00D6183E">
        <w:trPr>
          <w:trHeight w:val="602"/>
        </w:trPr>
        <w:tc>
          <w:tcPr>
            <w:tcW w:w="2620" w:type="dxa"/>
            <w:tcBorders>
              <w:top w:val="nil"/>
              <w:left w:val="single" w:sz="8" w:space="0" w:color="auto"/>
              <w:bottom w:val="single" w:sz="4" w:space="0" w:color="auto"/>
              <w:right w:val="single" w:sz="4" w:space="0" w:color="auto"/>
            </w:tcBorders>
            <w:shd w:val="clear" w:color="auto" w:fill="auto"/>
            <w:noWrap/>
            <w:vAlign w:val="center"/>
            <w:hideMark/>
          </w:tcPr>
          <w:p w14:paraId="6B7062AC" w14:textId="77777777" w:rsidR="009A5D73" w:rsidRPr="009A5D73" w:rsidRDefault="008857C6" w:rsidP="009A5D73">
            <w:pPr>
              <w:spacing w:after="0" w:line="240" w:lineRule="auto"/>
              <w:rPr>
                <w:rFonts w:ascii="Calibri" w:eastAsia="Times New Roman" w:hAnsi="Calibri" w:cs="Times New Roman"/>
                <w:b/>
                <w:bCs/>
                <w:color w:val="000000"/>
              </w:rPr>
            </w:pPr>
            <w:r>
              <w:rPr>
                <w:rFonts w:ascii="Calibri" w:eastAsia="Times New Roman" w:hAnsi="Calibri" w:cs="Times New Roman"/>
                <w:b/>
                <w:bCs/>
                <w:color w:val="000000"/>
              </w:rPr>
              <w:t>Exposure p</w:t>
            </w:r>
            <w:r w:rsidR="009A5D73" w:rsidRPr="009A5D73">
              <w:rPr>
                <w:rFonts w:ascii="Calibri" w:eastAsia="Times New Roman" w:hAnsi="Calibri" w:cs="Times New Roman"/>
                <w:b/>
                <w:bCs/>
                <w:color w:val="000000"/>
              </w:rPr>
              <w:t>eriod</w:t>
            </w:r>
          </w:p>
        </w:tc>
        <w:tc>
          <w:tcPr>
            <w:tcW w:w="7000" w:type="dxa"/>
            <w:tcBorders>
              <w:top w:val="nil"/>
              <w:left w:val="nil"/>
              <w:bottom w:val="single" w:sz="4" w:space="0" w:color="auto"/>
              <w:right w:val="single" w:sz="8" w:space="0" w:color="auto"/>
            </w:tcBorders>
            <w:shd w:val="clear" w:color="auto" w:fill="auto"/>
            <w:vAlign w:val="center"/>
            <w:hideMark/>
          </w:tcPr>
          <w:p w14:paraId="518655F9" w14:textId="77777777" w:rsidR="009A5D73" w:rsidRPr="009A5D73" w:rsidRDefault="00D6183E" w:rsidP="00E74DFB">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Data were collected </w:t>
            </w:r>
            <w:r w:rsidR="00E74DFB">
              <w:rPr>
                <w:rFonts w:ascii="Calibri" w:eastAsia="Times New Roman" w:hAnsi="Calibri" w:cs="Times New Roman"/>
                <w:color w:val="000000"/>
              </w:rPr>
              <w:t>3 times from a panel of households across</w:t>
            </w:r>
            <w:r w:rsidR="00CD614D">
              <w:rPr>
                <w:rFonts w:ascii="Calibri" w:eastAsia="Times New Roman" w:hAnsi="Calibri" w:cs="Times New Roman"/>
                <w:color w:val="000000"/>
              </w:rPr>
              <w:t xml:space="preserve"> the</w:t>
            </w:r>
            <w:r>
              <w:rPr>
                <w:rFonts w:ascii="Calibri" w:eastAsia="Times New Roman" w:hAnsi="Calibri" w:cs="Times New Roman"/>
                <w:color w:val="000000"/>
              </w:rPr>
              <w:t xml:space="preserve"> 6 </w:t>
            </w:r>
            <w:bookmarkStart w:id="0" w:name="_GoBack"/>
            <w:bookmarkEnd w:id="0"/>
            <w:r>
              <w:rPr>
                <w:rFonts w:ascii="Calibri" w:eastAsia="Times New Roman" w:hAnsi="Calibri" w:cs="Times New Roman"/>
                <w:color w:val="000000"/>
              </w:rPr>
              <w:t>winter heating months</w:t>
            </w:r>
            <w:r w:rsidR="00F274C5">
              <w:rPr>
                <w:rFonts w:ascii="Calibri" w:eastAsia="Times New Roman" w:hAnsi="Calibri" w:cs="Times New Roman"/>
                <w:color w:val="000000"/>
              </w:rPr>
              <w:t xml:space="preserve"> </w:t>
            </w:r>
            <w:r w:rsidR="00CD614D">
              <w:rPr>
                <w:rFonts w:ascii="Calibri" w:eastAsia="Times New Roman" w:hAnsi="Calibri" w:cs="Times New Roman"/>
                <w:color w:val="000000"/>
              </w:rPr>
              <w:t>of</w:t>
            </w:r>
            <w:r>
              <w:rPr>
                <w:rFonts w:ascii="Calibri" w:eastAsia="Times New Roman" w:hAnsi="Calibri" w:cs="Times New Roman"/>
                <w:color w:val="000000"/>
              </w:rPr>
              <w:t xml:space="preserve"> October 2012 to March 2013.</w:t>
            </w:r>
            <w:r>
              <w:rPr>
                <w:rStyle w:val="FootnoteReference"/>
                <w:rFonts w:ascii="Calibri" w:eastAsia="Times New Roman" w:hAnsi="Calibri" w:cs="Times New Roman"/>
                <w:color w:val="000000"/>
              </w:rPr>
              <w:footnoteReference w:id="12"/>
            </w:r>
          </w:p>
        </w:tc>
      </w:tr>
      <w:tr w:rsidR="009A5D73" w:rsidRPr="009A5D73" w14:paraId="7A17C09E" w14:textId="77777777" w:rsidTr="00096024">
        <w:trPr>
          <w:trHeight w:val="300"/>
        </w:trPr>
        <w:tc>
          <w:tcPr>
            <w:tcW w:w="2620" w:type="dxa"/>
            <w:tcBorders>
              <w:top w:val="nil"/>
              <w:left w:val="single" w:sz="8" w:space="0" w:color="auto"/>
              <w:bottom w:val="single" w:sz="4" w:space="0" w:color="auto"/>
              <w:right w:val="single" w:sz="4" w:space="0" w:color="auto"/>
            </w:tcBorders>
            <w:shd w:val="clear" w:color="auto" w:fill="auto"/>
            <w:vAlign w:val="center"/>
            <w:hideMark/>
          </w:tcPr>
          <w:p w14:paraId="07B340B3" w14:textId="77777777" w:rsidR="009A5D73" w:rsidRPr="009A5D73" w:rsidRDefault="009A5D73" w:rsidP="003E7CDA">
            <w:pPr>
              <w:spacing w:after="0" w:line="240" w:lineRule="auto"/>
              <w:rPr>
                <w:rFonts w:ascii="Calibri" w:eastAsia="Times New Roman" w:hAnsi="Calibri" w:cs="Times New Roman"/>
                <w:b/>
                <w:bCs/>
                <w:color w:val="000000"/>
              </w:rPr>
            </w:pPr>
            <w:r w:rsidRPr="009A5D73">
              <w:rPr>
                <w:rFonts w:ascii="Calibri" w:eastAsia="Times New Roman" w:hAnsi="Calibri" w:cs="Times New Roman"/>
                <w:b/>
                <w:bCs/>
                <w:color w:val="000000"/>
              </w:rPr>
              <w:t>PM</w:t>
            </w:r>
            <w:r w:rsidR="007952CA" w:rsidRPr="004307A0">
              <w:rPr>
                <w:rFonts w:ascii="Calibri" w:eastAsia="Times New Roman" w:hAnsi="Calibri" w:cs="Times New Roman"/>
                <w:b/>
                <w:bCs/>
                <w:color w:val="000000"/>
                <w:vertAlign w:val="subscript"/>
              </w:rPr>
              <w:t>2.5</w:t>
            </w:r>
            <w:r w:rsidRPr="009A5D73">
              <w:rPr>
                <w:rFonts w:ascii="Calibri" w:eastAsia="Times New Roman" w:hAnsi="Calibri" w:cs="Times New Roman"/>
                <w:b/>
                <w:bCs/>
                <w:color w:val="000000"/>
              </w:rPr>
              <w:t xml:space="preserve"> emissions</w:t>
            </w:r>
            <w:r w:rsidR="007952CA">
              <w:rPr>
                <w:rFonts w:ascii="Calibri" w:eastAsia="Times New Roman" w:hAnsi="Calibri" w:cs="Times New Roman"/>
                <w:b/>
                <w:bCs/>
                <w:color w:val="000000"/>
              </w:rPr>
              <w:t xml:space="preserve"> and </w:t>
            </w:r>
            <w:r w:rsidR="007952CA">
              <w:rPr>
                <w:rFonts w:ascii="Calibri" w:eastAsia="Times New Roman" w:hAnsi="Calibri" w:cs="Times New Roman"/>
                <w:b/>
                <w:bCs/>
                <w:color w:val="000000"/>
              </w:rPr>
              <w:lastRenderedPageBreak/>
              <w:t xml:space="preserve">ambient </w:t>
            </w:r>
            <w:r w:rsidR="003E7CDA">
              <w:rPr>
                <w:rFonts w:ascii="Calibri" w:eastAsia="Times New Roman" w:hAnsi="Calibri" w:cs="Times New Roman"/>
                <w:b/>
                <w:bCs/>
                <w:color w:val="000000"/>
              </w:rPr>
              <w:t>concentrations</w:t>
            </w:r>
          </w:p>
        </w:tc>
        <w:tc>
          <w:tcPr>
            <w:tcW w:w="7000" w:type="dxa"/>
            <w:tcBorders>
              <w:top w:val="nil"/>
              <w:left w:val="nil"/>
              <w:bottom w:val="single" w:sz="4" w:space="0" w:color="auto"/>
              <w:right w:val="single" w:sz="8" w:space="0" w:color="auto"/>
            </w:tcBorders>
            <w:shd w:val="clear" w:color="auto" w:fill="auto"/>
            <w:noWrap/>
            <w:vAlign w:val="center"/>
            <w:hideMark/>
          </w:tcPr>
          <w:p w14:paraId="02C5D20C" w14:textId="77777777" w:rsidR="009A5D73" w:rsidRPr="009A5D73" w:rsidRDefault="00506E11" w:rsidP="003E6222">
            <w:pPr>
              <w:spacing w:after="0" w:line="240" w:lineRule="auto"/>
              <w:rPr>
                <w:rFonts w:ascii="Calibri" w:eastAsia="Times New Roman" w:hAnsi="Calibri" w:cs="Times New Roman"/>
                <w:color w:val="000000"/>
              </w:rPr>
            </w:pPr>
            <w:r>
              <w:rPr>
                <w:rFonts w:ascii="Calibri" w:eastAsia="Times New Roman" w:hAnsi="Calibri" w:cs="Times New Roman"/>
              </w:rPr>
              <w:lastRenderedPageBreak/>
              <w:t>28</w:t>
            </w:r>
            <w:r w:rsidR="0086659C">
              <w:rPr>
                <w:rFonts w:ascii="Calibri" w:eastAsia="Times New Roman" w:hAnsi="Calibri" w:cs="Times New Roman"/>
              </w:rPr>
              <w:t xml:space="preserve">% </w:t>
            </w:r>
            <w:r w:rsidR="0086659C" w:rsidRPr="009001EF">
              <w:rPr>
                <w:rFonts w:ascii="Calibri" w:eastAsia="Times New Roman" w:hAnsi="Calibri" w:cs="Times New Roman"/>
              </w:rPr>
              <w:t>reduction in ambient PM</w:t>
            </w:r>
            <w:r w:rsidR="009001EF" w:rsidRPr="009001EF">
              <w:rPr>
                <w:rFonts w:ascii="Calibri" w:eastAsia="Times New Roman" w:hAnsi="Calibri" w:cs="Times New Roman"/>
              </w:rPr>
              <w:t>2.5</w:t>
            </w:r>
            <w:r w:rsidR="0086659C" w:rsidRPr="009001EF">
              <w:rPr>
                <w:rFonts w:ascii="Calibri" w:eastAsia="Times New Roman" w:hAnsi="Calibri" w:cs="Times New Roman"/>
              </w:rPr>
              <w:t xml:space="preserve"> concentrations over Ulaanbaatar </w:t>
            </w:r>
            <w:r w:rsidR="0086659C" w:rsidRPr="009001EF">
              <w:rPr>
                <w:rFonts w:ascii="Calibri" w:eastAsia="Times New Roman" w:hAnsi="Calibri" w:cs="Times New Roman"/>
              </w:rPr>
              <w:lastRenderedPageBreak/>
              <w:t xml:space="preserve">attributable to </w:t>
            </w:r>
            <w:r w:rsidR="003E6222">
              <w:rPr>
                <w:rFonts w:ascii="Calibri" w:eastAsia="Times New Roman" w:hAnsi="Calibri" w:cs="Times New Roman"/>
              </w:rPr>
              <w:t xml:space="preserve">project </w:t>
            </w:r>
            <w:r w:rsidR="0086659C" w:rsidRPr="009001EF">
              <w:rPr>
                <w:rFonts w:ascii="Calibri" w:eastAsia="Times New Roman" w:hAnsi="Calibri" w:cs="Times New Roman"/>
              </w:rPr>
              <w:t xml:space="preserve">stoves; 65% </w:t>
            </w:r>
            <w:r w:rsidR="009A5D73" w:rsidRPr="009001EF">
              <w:rPr>
                <w:rFonts w:ascii="Calibri" w:eastAsia="Times New Roman" w:hAnsi="Calibri" w:cs="Times New Roman"/>
              </w:rPr>
              <w:t xml:space="preserve">reduction </w:t>
            </w:r>
            <w:r w:rsidR="0086659C" w:rsidRPr="009001EF">
              <w:rPr>
                <w:rFonts w:ascii="Calibri" w:eastAsia="Times New Roman" w:hAnsi="Calibri" w:cs="Times New Roman"/>
              </w:rPr>
              <w:t>of PM</w:t>
            </w:r>
            <w:r w:rsidR="009001EF" w:rsidRPr="004307A0">
              <w:rPr>
                <w:rFonts w:ascii="Calibri" w:eastAsia="Times New Roman" w:hAnsi="Calibri" w:cs="Times New Roman"/>
                <w:vertAlign w:val="subscript"/>
              </w:rPr>
              <w:t>2.5</w:t>
            </w:r>
            <w:r w:rsidR="0086659C" w:rsidRPr="009001EF">
              <w:rPr>
                <w:rFonts w:ascii="Calibri" w:eastAsia="Times New Roman" w:hAnsi="Calibri" w:cs="Times New Roman"/>
              </w:rPr>
              <w:t xml:space="preserve"> </w:t>
            </w:r>
            <w:r w:rsidR="003E7CDA">
              <w:rPr>
                <w:rFonts w:ascii="Calibri" w:eastAsia="Times New Roman" w:hAnsi="Calibri" w:cs="Times New Roman"/>
              </w:rPr>
              <w:t>emissions for</w:t>
            </w:r>
            <w:r w:rsidR="00305F74" w:rsidRPr="009001EF">
              <w:rPr>
                <w:rFonts w:ascii="Calibri" w:eastAsia="Times New Roman" w:hAnsi="Calibri" w:cs="Times New Roman"/>
              </w:rPr>
              <w:t xml:space="preserve"> </w:t>
            </w:r>
            <w:r w:rsidR="003E6222">
              <w:rPr>
                <w:rFonts w:ascii="Calibri" w:eastAsia="Times New Roman" w:hAnsi="Calibri" w:cs="Times New Roman"/>
              </w:rPr>
              <w:t>project</w:t>
            </w:r>
            <w:r w:rsidR="00305F74" w:rsidRPr="009001EF">
              <w:rPr>
                <w:rFonts w:ascii="Calibri" w:eastAsia="Times New Roman" w:hAnsi="Calibri" w:cs="Times New Roman"/>
              </w:rPr>
              <w:t xml:space="preserve"> </w:t>
            </w:r>
            <w:r w:rsidR="009A5D73" w:rsidRPr="009001EF">
              <w:rPr>
                <w:rFonts w:ascii="Calibri" w:eastAsia="Times New Roman" w:hAnsi="Calibri" w:cs="Times New Roman"/>
              </w:rPr>
              <w:t>participating households</w:t>
            </w:r>
            <w:r w:rsidR="00FB477D" w:rsidRPr="009001EF">
              <w:rPr>
                <w:rFonts w:ascii="Calibri" w:eastAsia="Times New Roman" w:hAnsi="Calibri" w:cs="Times New Roman"/>
              </w:rPr>
              <w:t>.</w:t>
            </w:r>
          </w:p>
        </w:tc>
      </w:tr>
      <w:tr w:rsidR="009A5D73" w:rsidRPr="009A5D73" w14:paraId="1F7D4C37" w14:textId="77777777" w:rsidTr="00096024">
        <w:trPr>
          <w:trHeight w:val="600"/>
        </w:trPr>
        <w:tc>
          <w:tcPr>
            <w:tcW w:w="2620" w:type="dxa"/>
            <w:tcBorders>
              <w:top w:val="nil"/>
              <w:left w:val="single" w:sz="8" w:space="0" w:color="auto"/>
              <w:bottom w:val="single" w:sz="4" w:space="0" w:color="auto"/>
              <w:right w:val="single" w:sz="4" w:space="0" w:color="auto"/>
            </w:tcBorders>
            <w:shd w:val="clear" w:color="auto" w:fill="auto"/>
            <w:noWrap/>
            <w:vAlign w:val="center"/>
            <w:hideMark/>
          </w:tcPr>
          <w:p w14:paraId="7C455852" w14:textId="77777777" w:rsidR="009A5D73" w:rsidRPr="009A5D73" w:rsidRDefault="009A5D73" w:rsidP="009A5D73">
            <w:pPr>
              <w:spacing w:after="0" w:line="240" w:lineRule="auto"/>
              <w:rPr>
                <w:rFonts w:ascii="Calibri" w:eastAsia="Times New Roman" w:hAnsi="Calibri" w:cs="Times New Roman"/>
                <w:b/>
                <w:bCs/>
                <w:color w:val="000000"/>
              </w:rPr>
            </w:pPr>
            <w:r w:rsidRPr="009A5D73">
              <w:rPr>
                <w:rFonts w:ascii="Calibri" w:eastAsia="Times New Roman" w:hAnsi="Calibri" w:cs="Times New Roman"/>
                <w:b/>
                <w:bCs/>
                <w:color w:val="000000"/>
              </w:rPr>
              <w:lastRenderedPageBreak/>
              <w:t>Fuel consumption</w:t>
            </w:r>
          </w:p>
        </w:tc>
        <w:tc>
          <w:tcPr>
            <w:tcW w:w="7000" w:type="dxa"/>
            <w:tcBorders>
              <w:top w:val="nil"/>
              <w:left w:val="nil"/>
              <w:bottom w:val="single" w:sz="4" w:space="0" w:color="auto"/>
              <w:right w:val="single" w:sz="8" w:space="0" w:color="auto"/>
            </w:tcBorders>
            <w:shd w:val="clear" w:color="auto" w:fill="auto"/>
            <w:vAlign w:val="center"/>
            <w:hideMark/>
          </w:tcPr>
          <w:p w14:paraId="0B5A3A5A" w14:textId="77777777" w:rsidR="009A5D73" w:rsidRPr="009A5D73" w:rsidRDefault="009A5D73" w:rsidP="00EC7FB9">
            <w:pPr>
              <w:spacing w:after="0" w:line="240" w:lineRule="auto"/>
              <w:rPr>
                <w:rFonts w:ascii="Calibri" w:eastAsia="Times New Roman" w:hAnsi="Calibri" w:cs="Times New Roman"/>
                <w:color w:val="000000"/>
              </w:rPr>
            </w:pPr>
            <w:r w:rsidRPr="009A5D73">
              <w:rPr>
                <w:rFonts w:ascii="Calibri" w:eastAsia="Times New Roman" w:hAnsi="Calibri" w:cs="Times New Roman"/>
                <w:color w:val="000000"/>
              </w:rPr>
              <w:t xml:space="preserve">No significant difference </w:t>
            </w:r>
            <w:r w:rsidR="00EC7FB9" w:rsidRPr="00C503A8">
              <w:rPr>
                <w:rFonts w:ascii="Calibri" w:eastAsia="Times New Roman" w:hAnsi="Calibri" w:cs="Times New Roman"/>
              </w:rPr>
              <w:t xml:space="preserve">was observed </w:t>
            </w:r>
            <w:r w:rsidRPr="009A5D73">
              <w:rPr>
                <w:rFonts w:ascii="Calibri" w:eastAsia="Times New Roman" w:hAnsi="Calibri" w:cs="Times New Roman"/>
                <w:color w:val="000000"/>
              </w:rPr>
              <w:t>in fuel consumption between MCA stove use</w:t>
            </w:r>
            <w:r w:rsidR="00096024">
              <w:rPr>
                <w:rFonts w:ascii="Calibri" w:eastAsia="Times New Roman" w:hAnsi="Calibri" w:cs="Times New Roman"/>
                <w:color w:val="000000"/>
              </w:rPr>
              <w:t>rs and traditional stove users.</w:t>
            </w:r>
            <w:r w:rsidR="00096024">
              <w:rPr>
                <w:rStyle w:val="FootnoteReference"/>
                <w:rFonts w:ascii="Calibri" w:eastAsia="Times New Roman" w:hAnsi="Calibri" w:cs="Times New Roman"/>
                <w:color w:val="000000"/>
              </w:rPr>
              <w:footnoteReference w:id="13"/>
            </w:r>
          </w:p>
        </w:tc>
      </w:tr>
      <w:tr w:rsidR="009A5D73" w:rsidRPr="009A5D73" w14:paraId="2387E1A2" w14:textId="77777777" w:rsidTr="00096024">
        <w:trPr>
          <w:trHeight w:val="600"/>
        </w:trPr>
        <w:tc>
          <w:tcPr>
            <w:tcW w:w="2620" w:type="dxa"/>
            <w:tcBorders>
              <w:top w:val="nil"/>
              <w:left w:val="single" w:sz="8" w:space="0" w:color="auto"/>
              <w:bottom w:val="nil"/>
              <w:right w:val="single" w:sz="4" w:space="0" w:color="auto"/>
            </w:tcBorders>
            <w:shd w:val="clear" w:color="auto" w:fill="auto"/>
            <w:noWrap/>
            <w:vAlign w:val="center"/>
            <w:hideMark/>
          </w:tcPr>
          <w:p w14:paraId="24E19254" w14:textId="77777777" w:rsidR="009A5D73" w:rsidRPr="009A5D73" w:rsidRDefault="009A5D73" w:rsidP="009A5D73">
            <w:pPr>
              <w:spacing w:after="0" w:line="240" w:lineRule="auto"/>
              <w:rPr>
                <w:rFonts w:ascii="Calibri" w:eastAsia="Times New Roman" w:hAnsi="Calibri" w:cs="Times New Roman"/>
                <w:b/>
                <w:bCs/>
                <w:color w:val="000000"/>
              </w:rPr>
            </w:pPr>
            <w:r w:rsidRPr="009A5D73">
              <w:rPr>
                <w:rFonts w:ascii="Calibri" w:eastAsia="Times New Roman" w:hAnsi="Calibri" w:cs="Times New Roman"/>
                <w:b/>
                <w:bCs/>
                <w:color w:val="000000"/>
              </w:rPr>
              <w:t>Fuel expenditures</w:t>
            </w:r>
          </w:p>
        </w:tc>
        <w:tc>
          <w:tcPr>
            <w:tcW w:w="7000" w:type="dxa"/>
            <w:tcBorders>
              <w:top w:val="nil"/>
              <w:left w:val="nil"/>
              <w:bottom w:val="nil"/>
              <w:right w:val="single" w:sz="8" w:space="0" w:color="auto"/>
            </w:tcBorders>
            <w:shd w:val="clear" w:color="auto" w:fill="auto"/>
            <w:vAlign w:val="center"/>
            <w:hideMark/>
          </w:tcPr>
          <w:p w14:paraId="7CB76AC4" w14:textId="77777777" w:rsidR="009A5D73" w:rsidRPr="009A5D73" w:rsidRDefault="009A5D73" w:rsidP="00EC7FB9">
            <w:pPr>
              <w:spacing w:after="0" w:line="240" w:lineRule="auto"/>
              <w:rPr>
                <w:rFonts w:ascii="Calibri" w:eastAsia="Times New Roman" w:hAnsi="Calibri" w:cs="Times New Roman"/>
                <w:color w:val="000000"/>
              </w:rPr>
            </w:pPr>
            <w:r w:rsidRPr="009A5D73">
              <w:rPr>
                <w:rFonts w:ascii="Calibri" w:eastAsia="Times New Roman" w:hAnsi="Calibri" w:cs="Times New Roman"/>
                <w:color w:val="000000"/>
              </w:rPr>
              <w:t>No significant difference</w:t>
            </w:r>
            <w:r w:rsidR="00EC7FB9">
              <w:rPr>
                <w:rFonts w:ascii="Calibri" w:eastAsia="Times New Roman" w:hAnsi="Calibri" w:cs="Times New Roman"/>
                <w:color w:val="000000"/>
              </w:rPr>
              <w:t xml:space="preserve"> </w:t>
            </w:r>
            <w:r w:rsidR="00EC7FB9" w:rsidRPr="00C503A8">
              <w:rPr>
                <w:rFonts w:ascii="Calibri" w:eastAsia="Times New Roman" w:hAnsi="Calibri" w:cs="Times New Roman"/>
              </w:rPr>
              <w:t xml:space="preserve">was observed </w:t>
            </w:r>
            <w:r w:rsidRPr="009A5D73">
              <w:rPr>
                <w:rFonts w:ascii="Calibri" w:eastAsia="Times New Roman" w:hAnsi="Calibri" w:cs="Times New Roman"/>
                <w:color w:val="000000"/>
              </w:rPr>
              <w:t>in fuel expenditures between MCA stove users and traditional stove users.</w:t>
            </w:r>
            <w:r w:rsidR="00096024">
              <w:rPr>
                <w:rStyle w:val="FootnoteReference"/>
                <w:rFonts w:ascii="Calibri" w:eastAsia="Times New Roman" w:hAnsi="Calibri" w:cs="Times New Roman"/>
                <w:color w:val="000000"/>
              </w:rPr>
              <w:footnoteReference w:id="14"/>
            </w:r>
          </w:p>
        </w:tc>
      </w:tr>
      <w:tr w:rsidR="009A5D73" w:rsidRPr="009A5D73" w14:paraId="3F17A705" w14:textId="77777777" w:rsidTr="00096024">
        <w:trPr>
          <w:trHeight w:val="315"/>
        </w:trPr>
        <w:tc>
          <w:tcPr>
            <w:tcW w:w="262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EE7C437" w14:textId="77777777" w:rsidR="009A5D73" w:rsidRPr="009A5D73" w:rsidRDefault="009A5D73" w:rsidP="009A5D73">
            <w:pPr>
              <w:spacing w:after="0" w:line="240" w:lineRule="auto"/>
              <w:rPr>
                <w:rFonts w:ascii="Calibri" w:eastAsia="Times New Roman" w:hAnsi="Calibri" w:cs="Times New Roman"/>
                <w:b/>
                <w:bCs/>
                <w:color w:val="000000"/>
              </w:rPr>
            </w:pPr>
            <w:r w:rsidRPr="009A5D73">
              <w:rPr>
                <w:rFonts w:ascii="Calibri" w:eastAsia="Times New Roman" w:hAnsi="Calibri" w:cs="Times New Roman"/>
                <w:b/>
                <w:bCs/>
                <w:color w:val="000000"/>
              </w:rPr>
              <w:t>Health</w:t>
            </w:r>
          </w:p>
        </w:tc>
        <w:tc>
          <w:tcPr>
            <w:tcW w:w="7000" w:type="dxa"/>
            <w:tcBorders>
              <w:top w:val="single" w:sz="4" w:space="0" w:color="auto"/>
              <w:left w:val="nil"/>
              <w:bottom w:val="single" w:sz="8" w:space="0" w:color="auto"/>
              <w:right w:val="single" w:sz="8" w:space="0" w:color="auto"/>
            </w:tcBorders>
            <w:shd w:val="clear" w:color="auto" w:fill="auto"/>
            <w:vAlign w:val="center"/>
            <w:hideMark/>
          </w:tcPr>
          <w:p w14:paraId="0C5F4CF2" w14:textId="77F3F2A5" w:rsidR="009A5D73" w:rsidRPr="009A5D73" w:rsidRDefault="009A5D73" w:rsidP="000F4EF6">
            <w:pPr>
              <w:spacing w:after="0" w:line="240" w:lineRule="auto"/>
              <w:rPr>
                <w:rFonts w:ascii="Calibri" w:eastAsia="Times New Roman" w:hAnsi="Calibri" w:cs="Times New Roman"/>
                <w:color w:val="000000"/>
              </w:rPr>
            </w:pPr>
            <w:r w:rsidRPr="009A5D73">
              <w:rPr>
                <w:rFonts w:ascii="Calibri" w:eastAsia="Times New Roman" w:hAnsi="Calibri" w:cs="Times New Roman"/>
                <w:color w:val="000000"/>
              </w:rPr>
              <w:t>Health impacts were not directly measured</w:t>
            </w:r>
            <w:r w:rsidR="00DB766B">
              <w:rPr>
                <w:rFonts w:ascii="Calibri" w:eastAsia="Times New Roman" w:hAnsi="Calibri" w:cs="Times New Roman"/>
                <w:color w:val="000000"/>
              </w:rPr>
              <w:t>;</w:t>
            </w:r>
            <w:r w:rsidR="009001EF">
              <w:rPr>
                <w:rStyle w:val="FootnoteReference"/>
                <w:rFonts w:ascii="Calibri" w:eastAsia="Times New Roman" w:hAnsi="Calibri" w:cs="Times New Roman"/>
                <w:color w:val="000000"/>
              </w:rPr>
              <w:footnoteReference w:id="15"/>
            </w:r>
            <w:r w:rsidR="00C83124">
              <w:rPr>
                <w:rFonts w:ascii="Calibri" w:eastAsia="Times New Roman" w:hAnsi="Calibri" w:cs="Times New Roman"/>
                <w:color w:val="000000"/>
              </w:rPr>
              <w:t xml:space="preserve"> </w:t>
            </w:r>
            <w:r w:rsidR="00DB766B">
              <w:rPr>
                <w:rFonts w:ascii="Calibri" w:eastAsia="Times New Roman" w:hAnsi="Calibri" w:cs="Times New Roman"/>
                <w:color w:val="000000"/>
              </w:rPr>
              <w:t>h</w:t>
            </w:r>
            <w:r w:rsidR="00C83124">
              <w:rPr>
                <w:rFonts w:ascii="Calibri" w:eastAsia="Times New Roman" w:hAnsi="Calibri" w:cs="Times New Roman"/>
                <w:color w:val="000000"/>
              </w:rPr>
              <w:t>owever, using known dose-response functions</w:t>
            </w:r>
            <w:r w:rsidR="004307A0">
              <w:rPr>
                <w:rFonts w:ascii="Calibri" w:eastAsia="Times New Roman" w:hAnsi="Calibri" w:cs="Times New Roman"/>
                <w:color w:val="000000"/>
              </w:rPr>
              <w:t xml:space="preserve"> (</w:t>
            </w:r>
            <w:r w:rsidR="004307A0">
              <w:t>the most advanced methods to estimate health impacts currently available)</w:t>
            </w:r>
            <w:r w:rsidR="00C83124">
              <w:rPr>
                <w:rFonts w:ascii="Calibri" w:eastAsia="Times New Roman" w:hAnsi="Calibri" w:cs="Times New Roman"/>
                <w:color w:val="000000"/>
              </w:rPr>
              <w:t>, it is estimated that PM</w:t>
            </w:r>
            <w:r w:rsidR="00C83124" w:rsidRPr="004307A0">
              <w:rPr>
                <w:rFonts w:ascii="Calibri" w:eastAsia="Times New Roman" w:hAnsi="Calibri" w:cs="Times New Roman"/>
                <w:color w:val="000000"/>
                <w:vertAlign w:val="subscript"/>
              </w:rPr>
              <w:t>2.5</w:t>
            </w:r>
            <w:r w:rsidR="00C83124">
              <w:rPr>
                <w:rFonts w:ascii="Calibri" w:eastAsia="Times New Roman" w:hAnsi="Calibri" w:cs="Times New Roman"/>
                <w:color w:val="000000"/>
              </w:rPr>
              <w:t xml:space="preserve"> emissions reductions measured through this study resulted in </w:t>
            </w:r>
            <w:r w:rsidR="00C83124" w:rsidRPr="00C83124">
              <w:rPr>
                <w:rFonts w:ascii="Calibri" w:eastAsia="Times New Roman" w:hAnsi="Calibri" w:cs="Times New Roman"/>
                <w:color w:val="000000"/>
              </w:rPr>
              <w:t xml:space="preserve">reductions in the incidence of various respiratory-related diseases </w:t>
            </w:r>
            <w:r w:rsidR="00DB766B">
              <w:rPr>
                <w:rFonts w:ascii="Calibri" w:eastAsia="Times New Roman" w:hAnsi="Calibri" w:cs="Times New Roman"/>
                <w:color w:val="000000"/>
              </w:rPr>
              <w:t xml:space="preserve">including cancer (-9%), COPD (-8%), ALRI in children 0-4 years (-8%), </w:t>
            </w:r>
            <w:r w:rsidR="00DB766B" w:rsidRPr="00D62A36">
              <w:t>ischemic heart disease</w:t>
            </w:r>
            <w:r w:rsidR="00DB766B">
              <w:t xml:space="preserve"> (-5%)</w:t>
            </w:r>
            <w:r w:rsidR="00DB766B">
              <w:rPr>
                <w:rFonts w:ascii="Calibri" w:eastAsia="Times New Roman" w:hAnsi="Calibri" w:cs="Times New Roman"/>
                <w:color w:val="000000"/>
              </w:rPr>
              <w:t>, and stroke (-2%). This would have resulted</w:t>
            </w:r>
            <w:r w:rsidR="00C83124" w:rsidRPr="00C83124">
              <w:rPr>
                <w:rFonts w:ascii="Calibri" w:eastAsia="Times New Roman" w:hAnsi="Calibri" w:cs="Times New Roman"/>
                <w:color w:val="000000"/>
              </w:rPr>
              <w:t xml:space="preserve"> in 47 avoided deaths and 1,643 disability-adjusted life years (DALYs).</w:t>
            </w:r>
          </w:p>
        </w:tc>
      </w:tr>
    </w:tbl>
    <w:p w14:paraId="096F531F" w14:textId="77777777" w:rsidR="00B82486" w:rsidRDefault="00B82486" w:rsidP="00F87FAF">
      <w:pPr>
        <w:spacing w:after="0" w:line="20" w:lineRule="atLeast"/>
      </w:pPr>
    </w:p>
    <w:p w14:paraId="0ED479BF" w14:textId="77777777" w:rsidR="00096024" w:rsidRDefault="00096024" w:rsidP="00F87FAF">
      <w:pPr>
        <w:spacing w:after="0" w:line="20" w:lineRule="atLeast"/>
      </w:pPr>
    </w:p>
    <w:p w14:paraId="084F51AF" w14:textId="77777777" w:rsidR="007052FC" w:rsidRDefault="007052FC">
      <w:pPr>
        <w:rPr>
          <w:b/>
        </w:rPr>
      </w:pPr>
    </w:p>
    <w:p w14:paraId="65FD4A03" w14:textId="77777777" w:rsidR="00C57688" w:rsidRDefault="00C57688">
      <w:pPr>
        <w:rPr>
          <w:b/>
        </w:rPr>
      </w:pPr>
    </w:p>
    <w:p w14:paraId="438697B7" w14:textId="77777777" w:rsidR="002F3F1D" w:rsidRDefault="002F3F1D">
      <w:pPr>
        <w:rPr>
          <w:b/>
        </w:rPr>
      </w:pPr>
    </w:p>
    <w:p w14:paraId="410D5212" w14:textId="77777777" w:rsidR="00C57688" w:rsidRDefault="00C57688" w:rsidP="00F87FAF">
      <w:pPr>
        <w:spacing w:after="0" w:line="20" w:lineRule="atLeast"/>
        <w:rPr>
          <w:b/>
        </w:rPr>
      </w:pPr>
    </w:p>
    <w:p w14:paraId="3712557B" w14:textId="77777777" w:rsidR="00B82486" w:rsidRPr="00C503A8" w:rsidRDefault="00B82486" w:rsidP="00F87FAF">
      <w:pPr>
        <w:spacing w:after="0" w:line="20" w:lineRule="atLeast"/>
        <w:rPr>
          <w:b/>
        </w:rPr>
      </w:pPr>
      <w:r w:rsidRPr="00C503A8">
        <w:rPr>
          <w:b/>
        </w:rPr>
        <w:t>Lessons Learned</w:t>
      </w:r>
    </w:p>
    <w:p w14:paraId="55661A76" w14:textId="77777777" w:rsidR="00B82486" w:rsidRDefault="00EF52FF" w:rsidP="00AA2930">
      <w:pPr>
        <w:spacing w:after="0" w:line="20" w:lineRule="atLeast"/>
        <w:jc w:val="both"/>
      </w:pPr>
      <w:r>
        <w:t xml:space="preserve">There were several key lessons learned from this evaluation for MCC and future partner countries to consider when designing and implementing </w:t>
      </w:r>
      <w:r w:rsidR="00FE5285">
        <w:t>stove subsidy</w:t>
      </w:r>
      <w:r w:rsidRPr="00FE5285">
        <w:t xml:space="preserve"> projects</w:t>
      </w:r>
      <w:r>
        <w:t xml:space="preserve"> and evaluations.</w:t>
      </w:r>
    </w:p>
    <w:p w14:paraId="49120559" w14:textId="77777777" w:rsidR="00B82486" w:rsidRDefault="00B82486" w:rsidP="00AA2930">
      <w:pPr>
        <w:spacing w:after="0" w:line="20" w:lineRule="atLeast"/>
        <w:jc w:val="both"/>
      </w:pPr>
    </w:p>
    <w:p w14:paraId="5363F110" w14:textId="77777777" w:rsidR="00666D4B" w:rsidRPr="0061424E" w:rsidRDefault="007052FC" w:rsidP="00AA2930">
      <w:pPr>
        <w:pStyle w:val="ListParagraph"/>
        <w:numPr>
          <w:ilvl w:val="0"/>
          <w:numId w:val="3"/>
        </w:numPr>
        <w:spacing w:after="0" w:line="20" w:lineRule="atLeast"/>
        <w:ind w:left="360"/>
        <w:jc w:val="both"/>
      </w:pPr>
      <w:r w:rsidRPr="007052FC">
        <w:rPr>
          <w:b/>
        </w:rPr>
        <w:t xml:space="preserve">Investing in stove subsidies to </w:t>
      </w:r>
      <w:r w:rsidRPr="006E71CA">
        <w:rPr>
          <w:b/>
        </w:rPr>
        <w:t xml:space="preserve">replace </w:t>
      </w:r>
      <w:r w:rsidR="006E71CA" w:rsidRPr="006E71CA">
        <w:rPr>
          <w:b/>
        </w:rPr>
        <w:t xml:space="preserve">traditional </w:t>
      </w:r>
      <w:r w:rsidRPr="006E71CA">
        <w:rPr>
          <w:b/>
        </w:rPr>
        <w:t>coal-</w:t>
      </w:r>
      <w:r w:rsidRPr="007052FC">
        <w:rPr>
          <w:b/>
        </w:rPr>
        <w:t xml:space="preserve">burning stoves with </w:t>
      </w:r>
      <w:r w:rsidR="006E71CA">
        <w:rPr>
          <w:b/>
        </w:rPr>
        <w:t xml:space="preserve">more </w:t>
      </w:r>
      <w:r w:rsidRPr="007052FC">
        <w:rPr>
          <w:b/>
        </w:rPr>
        <w:t xml:space="preserve">energy </w:t>
      </w:r>
      <w:r w:rsidRPr="006E71CA">
        <w:rPr>
          <w:b/>
        </w:rPr>
        <w:t xml:space="preserve">efficient </w:t>
      </w:r>
      <w:r w:rsidR="006E71CA" w:rsidRPr="006E71CA">
        <w:rPr>
          <w:b/>
        </w:rPr>
        <w:t xml:space="preserve">coal-burning </w:t>
      </w:r>
      <w:r w:rsidRPr="006E71CA">
        <w:rPr>
          <w:b/>
        </w:rPr>
        <w:t xml:space="preserve">stoves </w:t>
      </w:r>
      <w:r w:rsidRPr="007052FC">
        <w:rPr>
          <w:b/>
        </w:rPr>
        <w:t>is a cost-effective intervention</w:t>
      </w:r>
      <w:r>
        <w:t xml:space="preserve">. </w:t>
      </w:r>
      <w:r w:rsidR="0086450F">
        <w:t xml:space="preserve">The </w:t>
      </w:r>
      <w:r w:rsidR="001A1CB9">
        <w:t xml:space="preserve">impact </w:t>
      </w:r>
      <w:r w:rsidR="0086450F">
        <w:t xml:space="preserve">evaluation </w:t>
      </w:r>
      <w:r w:rsidR="001A1CB9">
        <w:t xml:space="preserve">results demonstrate </w:t>
      </w:r>
      <w:r w:rsidR="0086450F">
        <w:t>reduction</w:t>
      </w:r>
      <w:r w:rsidR="001A1CB9">
        <w:t>s</w:t>
      </w:r>
      <w:r w:rsidR="0086450F">
        <w:t xml:space="preserve"> in emissions </w:t>
      </w:r>
      <w:r w:rsidR="001A1CB9">
        <w:t>that exceed</w:t>
      </w:r>
      <w:r w:rsidR="0086450F">
        <w:t xml:space="preserve"> the assumptions made in </w:t>
      </w:r>
      <w:r w:rsidR="003E6222">
        <w:t>MCC’s</w:t>
      </w:r>
      <w:r w:rsidR="0086450F">
        <w:t xml:space="preserve"> ex-ante e</w:t>
      </w:r>
      <w:r w:rsidR="00666D4B">
        <w:t>conomic rate of return analysis</w:t>
      </w:r>
      <w:r w:rsidR="0086450F">
        <w:t xml:space="preserve">. This </w:t>
      </w:r>
      <w:r w:rsidR="001A1CB9">
        <w:t>suggests</w:t>
      </w:r>
      <w:r w:rsidR="00666D4B">
        <w:t xml:space="preserve"> the EEP project design, at least for stoves, to be a cost-effective air pollution abatement measure. </w:t>
      </w:r>
    </w:p>
    <w:p w14:paraId="3C23C276" w14:textId="77777777" w:rsidR="0013592F" w:rsidRDefault="007052FC" w:rsidP="00AA2930">
      <w:pPr>
        <w:pStyle w:val="ListParagraph"/>
        <w:numPr>
          <w:ilvl w:val="0"/>
          <w:numId w:val="3"/>
        </w:numPr>
        <w:spacing w:after="0" w:line="20" w:lineRule="atLeast"/>
        <w:ind w:left="360"/>
        <w:jc w:val="both"/>
      </w:pPr>
      <w:r w:rsidRPr="007052FC">
        <w:rPr>
          <w:b/>
        </w:rPr>
        <w:t xml:space="preserve">More </w:t>
      </w:r>
      <w:r w:rsidR="001037AB">
        <w:rPr>
          <w:b/>
        </w:rPr>
        <w:t xml:space="preserve">comprehensive </w:t>
      </w:r>
      <w:r w:rsidRPr="007052FC">
        <w:rPr>
          <w:b/>
        </w:rPr>
        <w:t>pilot testing is required outside a laboratory setting before implementing a similar project at scale</w:t>
      </w:r>
      <w:r>
        <w:t xml:space="preserve">. </w:t>
      </w:r>
      <w:r w:rsidR="0013592F">
        <w:t xml:space="preserve">The relationship between fuel efficiency and stove operation is </w:t>
      </w:r>
      <w:r w:rsidR="003E6222">
        <w:t>direct</w:t>
      </w:r>
      <w:r w:rsidR="0013592F">
        <w:t xml:space="preserve"> and compl</w:t>
      </w:r>
      <w:r w:rsidR="00112956">
        <w:t>ex</w:t>
      </w:r>
      <w:r w:rsidR="0013592F">
        <w:t xml:space="preserve">.  Fuel efficiency </w:t>
      </w:r>
      <w:r w:rsidR="003E6222">
        <w:t xml:space="preserve">gains </w:t>
      </w:r>
      <w:r w:rsidR="0013592F">
        <w:t xml:space="preserve">observed in the laboratory </w:t>
      </w:r>
      <w:r w:rsidR="003E6222">
        <w:t xml:space="preserve">and field testing </w:t>
      </w:r>
      <w:r w:rsidR="0086450F">
        <w:t xml:space="preserve">prior to implementation </w:t>
      </w:r>
      <w:r w:rsidR="0013592F">
        <w:t>w</w:t>
      </w:r>
      <w:r w:rsidR="003E6222">
        <w:t>ere</w:t>
      </w:r>
      <w:r w:rsidR="0013592F">
        <w:t xml:space="preserve"> achieved under normal operating conditions.  The evaluation observed </w:t>
      </w:r>
      <w:r w:rsidR="00823F41">
        <w:t xml:space="preserve">more </w:t>
      </w:r>
      <w:r w:rsidR="0013592F">
        <w:t xml:space="preserve">varied operating procedures among MCA stove owners.  The result was observation of little to no fuel savings, </w:t>
      </w:r>
      <w:r w:rsidR="0013592F">
        <w:lastRenderedPageBreak/>
        <w:t xml:space="preserve">warmer temperatures in the home, </w:t>
      </w:r>
      <w:r w:rsidR="00823F41">
        <w:t>and/</w:t>
      </w:r>
      <w:r w:rsidR="0013592F">
        <w:t>or fuel savings that were less than those achieved in the laboratory (30%).  While demonstration and written instructions were provided</w:t>
      </w:r>
      <w:r w:rsidR="003E6222">
        <w:t xml:space="preserve"> to consumers</w:t>
      </w:r>
      <w:r w:rsidR="0013592F">
        <w:t xml:space="preserve">, alternate methods or greater investment in the same </w:t>
      </w:r>
      <w:r w:rsidR="00666D4B">
        <w:t xml:space="preserve">is </w:t>
      </w:r>
      <w:r w:rsidR="00823F41">
        <w:t>recommended</w:t>
      </w:r>
      <w:r w:rsidR="0013592F">
        <w:t>.</w:t>
      </w:r>
      <w:r w:rsidR="00891314">
        <w:t xml:space="preserve"> </w:t>
      </w:r>
      <w:r w:rsidR="003E6222">
        <w:t xml:space="preserve">Laboratory level </w:t>
      </w:r>
      <w:r w:rsidR="00891314">
        <w:t>fuel savings are still a</w:t>
      </w:r>
      <w:r w:rsidR="003E6222">
        <w:t>ttainable</w:t>
      </w:r>
      <w:r w:rsidR="00891314">
        <w:t xml:space="preserve"> by stove owners who operate their stoves according to the instructions.</w:t>
      </w:r>
    </w:p>
    <w:p w14:paraId="42E805EE" w14:textId="77777777" w:rsidR="0013592F" w:rsidRDefault="00792FC6" w:rsidP="00AA2930">
      <w:pPr>
        <w:pStyle w:val="ListParagraph"/>
        <w:numPr>
          <w:ilvl w:val="0"/>
          <w:numId w:val="3"/>
        </w:numPr>
        <w:spacing w:after="0" w:line="20" w:lineRule="atLeast"/>
        <w:ind w:left="360"/>
        <w:jc w:val="both"/>
      </w:pPr>
      <w:r>
        <w:rPr>
          <w:b/>
        </w:rPr>
        <w:t xml:space="preserve">Need to </w:t>
      </w:r>
      <w:r w:rsidR="001037AB">
        <w:rPr>
          <w:b/>
        </w:rPr>
        <w:t>assess</w:t>
      </w:r>
      <w:r w:rsidR="007052FC" w:rsidRPr="007052FC">
        <w:rPr>
          <w:b/>
        </w:rPr>
        <w:t xml:space="preserve"> potential user preferences in order to inform marketing and communications</w:t>
      </w:r>
      <w:r w:rsidR="007052FC">
        <w:t xml:space="preserve">. </w:t>
      </w:r>
      <w:r w:rsidR="00666D4B">
        <w:t xml:space="preserve">While the project undertook both laboratory and field testing to select stoves for inclusion in the subsidy program, the difference in results between ex-ante findings and evaluation findings concerning fuel savings suggests </w:t>
      </w:r>
      <w:r w:rsidR="001A1CB9">
        <w:t xml:space="preserve">the need for </w:t>
      </w:r>
      <w:r w:rsidR="00666D4B">
        <w:t>a more thorough ex-ante a</w:t>
      </w:r>
      <w:r w:rsidR="00E70A8D">
        <w:t>ssessment of</w:t>
      </w:r>
      <w:r w:rsidR="00666D4B">
        <w:t xml:space="preserve"> consumer preferences and variation in actual stove operation</w:t>
      </w:r>
      <w:r w:rsidR="007052FC">
        <w:t>, particularly differences between men and women,</w:t>
      </w:r>
      <w:r w:rsidR="00666D4B">
        <w:t xml:space="preserve"> </w:t>
      </w:r>
      <w:r w:rsidR="001A1CB9">
        <w:t>to better guide</w:t>
      </w:r>
      <w:r w:rsidR="00666D4B">
        <w:t xml:space="preserve"> product demonstration and training</w:t>
      </w:r>
      <w:r w:rsidR="001037AB">
        <w:t xml:space="preserve"> activities</w:t>
      </w:r>
      <w:r w:rsidR="00666D4B">
        <w:t>.</w:t>
      </w:r>
    </w:p>
    <w:p w14:paraId="5A3845DD" w14:textId="77777777" w:rsidR="005F0CFB" w:rsidRDefault="00647A39" w:rsidP="00AA2930">
      <w:pPr>
        <w:pStyle w:val="ListParagraph"/>
        <w:numPr>
          <w:ilvl w:val="0"/>
          <w:numId w:val="3"/>
        </w:numPr>
        <w:spacing w:after="0" w:line="20" w:lineRule="atLeast"/>
        <w:ind w:left="360"/>
        <w:jc w:val="both"/>
      </w:pPr>
      <w:r>
        <w:rPr>
          <w:b/>
        </w:rPr>
        <w:t>Need to consider how changes in the fuel supply market may affect project design</w:t>
      </w:r>
      <w:r>
        <w:t xml:space="preserve">. </w:t>
      </w:r>
      <w:r w:rsidR="005F0CFB">
        <w:t>Stove performance was tested with the predominant</w:t>
      </w:r>
      <w:r w:rsidR="00075A50">
        <w:t xml:space="preserve"> coal </w:t>
      </w:r>
      <w:r w:rsidR="001A1CB9">
        <w:t>available</w:t>
      </w:r>
      <w:r w:rsidR="00075A50">
        <w:t xml:space="preserve"> in the target market</w:t>
      </w:r>
      <w:r w:rsidR="005B1DC7">
        <w:t xml:space="preserve"> which was in turn prescribed for use</w:t>
      </w:r>
      <w:r w:rsidR="00823F41">
        <w:t xml:space="preserve"> with MCA stoves</w:t>
      </w:r>
      <w:r w:rsidR="00075A50">
        <w:t xml:space="preserve">.  The evaluation showed that other coal fuel was also used </w:t>
      </w:r>
      <w:r w:rsidR="005B1DC7">
        <w:t xml:space="preserve">in the target market albeit </w:t>
      </w:r>
      <w:r w:rsidR="00075A50">
        <w:t xml:space="preserve">to </w:t>
      </w:r>
      <w:r w:rsidR="005B1DC7">
        <w:t xml:space="preserve">a </w:t>
      </w:r>
      <w:r w:rsidR="001037AB">
        <w:t xml:space="preserve">significantly </w:t>
      </w:r>
      <w:r w:rsidR="005B1DC7">
        <w:t xml:space="preserve">lesser </w:t>
      </w:r>
      <w:r w:rsidR="00075A50">
        <w:t>extent.  In the last year of the program, the min</w:t>
      </w:r>
      <w:r w:rsidR="00855B98">
        <w:t>ing operation</w:t>
      </w:r>
      <w:r w:rsidR="00075A50">
        <w:t xml:space="preserve"> which provided the predominant coal type was closed and an alternate coal type was introduced </w:t>
      </w:r>
      <w:r w:rsidR="00823F41">
        <w:t xml:space="preserve">by the Government </w:t>
      </w:r>
      <w:r w:rsidR="00075A50">
        <w:t>with subsidy. Had more ti</w:t>
      </w:r>
      <w:r w:rsidR="001A1CB9">
        <w:t>me been available, the project sh</w:t>
      </w:r>
      <w:r w:rsidR="00075A50">
        <w:t>ould have developed tests and strategies for alternate stove/fuel combinations.</w:t>
      </w:r>
    </w:p>
    <w:p w14:paraId="3BDD1749" w14:textId="77777777" w:rsidR="005B1DC7" w:rsidRDefault="00647A39" w:rsidP="00AA2930">
      <w:pPr>
        <w:pStyle w:val="ListParagraph"/>
        <w:numPr>
          <w:ilvl w:val="0"/>
          <w:numId w:val="3"/>
        </w:numPr>
        <w:spacing w:after="0" w:line="20" w:lineRule="atLeast"/>
        <w:ind w:left="360"/>
        <w:jc w:val="both"/>
      </w:pPr>
      <w:r w:rsidRPr="00647A39">
        <w:rPr>
          <w:b/>
        </w:rPr>
        <w:t xml:space="preserve">Need to consider how bundling strategies may </w:t>
      </w:r>
      <w:r w:rsidR="00855B98" w:rsidRPr="00647A39">
        <w:rPr>
          <w:b/>
        </w:rPr>
        <w:t>incentivi</w:t>
      </w:r>
      <w:r w:rsidR="00855B98">
        <w:rPr>
          <w:b/>
        </w:rPr>
        <w:t>ze</w:t>
      </w:r>
      <w:r w:rsidRPr="00647A39">
        <w:rPr>
          <w:b/>
        </w:rPr>
        <w:t xml:space="preserve"> behavior change</w:t>
      </w:r>
      <w:r>
        <w:t xml:space="preserve">. </w:t>
      </w:r>
      <w:r w:rsidR="005B1DC7">
        <w:t>Given the impact of insulation</w:t>
      </w:r>
      <w:r w:rsidR="00700EB9">
        <w:t xml:space="preserve">, operations, and fuel type </w:t>
      </w:r>
      <w:r w:rsidR="007E6EFD">
        <w:t xml:space="preserve">on stove performance, the project </w:t>
      </w:r>
      <w:r>
        <w:t>may</w:t>
      </w:r>
      <w:r w:rsidR="007E6EFD">
        <w:t xml:space="preserve"> have </w:t>
      </w:r>
      <w:r>
        <w:t>benefited from</w:t>
      </w:r>
      <w:r w:rsidR="002755A2">
        <w:t xml:space="preserve"> additional testing and made better use of </w:t>
      </w:r>
      <w:r w:rsidR="007E6EFD">
        <w:t>“bundling” strateg</w:t>
      </w:r>
      <w:r w:rsidR="002755A2">
        <w:t>ies</w:t>
      </w:r>
      <w:r w:rsidR="007E6EFD">
        <w:t xml:space="preserve"> to incentivize the purchase of energy efficiency packages, rather than individual products. Meaningful bundles might have combined the purchase of stoves with insulation, cooking devices, fuel, cooking pots, etc.</w:t>
      </w:r>
    </w:p>
    <w:p w14:paraId="2BD329DB" w14:textId="77777777" w:rsidR="00792FC6" w:rsidRDefault="00792FC6" w:rsidP="00AA2930">
      <w:pPr>
        <w:pStyle w:val="ListParagraph"/>
        <w:numPr>
          <w:ilvl w:val="0"/>
          <w:numId w:val="3"/>
        </w:numPr>
        <w:spacing w:after="0" w:line="20" w:lineRule="atLeast"/>
        <w:ind w:left="360"/>
        <w:jc w:val="both"/>
      </w:pPr>
      <w:r w:rsidRPr="00647A39">
        <w:rPr>
          <w:b/>
        </w:rPr>
        <w:t xml:space="preserve">More coordination on marketing and communications </w:t>
      </w:r>
      <w:r w:rsidR="001037AB">
        <w:rPr>
          <w:b/>
        </w:rPr>
        <w:t xml:space="preserve">may be </w:t>
      </w:r>
      <w:r w:rsidRPr="00647A39">
        <w:rPr>
          <w:b/>
        </w:rPr>
        <w:t>required to mitigate political risks</w:t>
      </w:r>
      <w:r>
        <w:t xml:space="preserve">. A successful project outcome in the form of air pollution reduction was dependent upon maximizing product sales.  During the election period, incorrect and negative statements were made </w:t>
      </w:r>
      <w:r w:rsidR="001037AB">
        <w:t xml:space="preserve">about the project </w:t>
      </w:r>
      <w:r>
        <w:t xml:space="preserve">in the press.  Moreover, traditional stove producers and alternative fuel producers who were perhaps threatened by the introduction and subsidy of new coal-fired stoves, criticized the program.  This misinformation may have created some confusion in the market about the efficacy of the program and its benefits. </w:t>
      </w:r>
      <w:r w:rsidR="001037AB">
        <w:t>While stove sales remained high overall, t</w:t>
      </w:r>
      <w:r>
        <w:t>he project would have benefited from improved implementation of</w:t>
      </w:r>
      <w:r w:rsidR="00957D5C">
        <w:t>,</w:t>
      </w:r>
      <w:r>
        <w:t xml:space="preserve"> and coordination with</w:t>
      </w:r>
      <w:r w:rsidR="00957D5C">
        <w:t>,</w:t>
      </w:r>
      <w:r>
        <w:t xml:space="preserve"> the Government’s national plan</w:t>
      </w:r>
      <w:r w:rsidR="00957D5C">
        <w:t xml:space="preserve"> to reduce air pollution and </w:t>
      </w:r>
      <w:r w:rsidR="00BA0FC8">
        <w:t xml:space="preserve">its </w:t>
      </w:r>
      <w:r w:rsidR="00957D5C">
        <w:t>communication strategy</w:t>
      </w:r>
      <w:r>
        <w:t>.</w:t>
      </w:r>
      <w:r w:rsidR="001037AB">
        <w:t xml:space="preserve"> </w:t>
      </w:r>
    </w:p>
    <w:p w14:paraId="5EF98455" w14:textId="77777777" w:rsidR="004776E3" w:rsidRDefault="004776E3" w:rsidP="00AA2930">
      <w:pPr>
        <w:pStyle w:val="ListParagraph"/>
        <w:numPr>
          <w:ilvl w:val="0"/>
          <w:numId w:val="3"/>
        </w:numPr>
        <w:spacing w:after="0" w:line="20" w:lineRule="atLeast"/>
        <w:ind w:left="360"/>
        <w:jc w:val="both"/>
      </w:pPr>
      <w:r>
        <w:rPr>
          <w:b/>
        </w:rPr>
        <w:t>Ensure monitoring indicators are consistent with project design</w:t>
      </w:r>
      <w:r w:rsidRPr="00A92C55">
        <w:t>.</w:t>
      </w:r>
      <w:r>
        <w:t xml:space="preserve"> The design of this project as a funding facility might have been more conducive to the inclusion of a greater number of process indicators early on, and the addition of relevant output and outcome indicators later on. Similarly, with respect to emissions and air pollution reduction, targets should </w:t>
      </w:r>
      <w:r w:rsidR="001A1CB9">
        <w:t>have been</w:t>
      </w:r>
      <w:r>
        <w:t xml:space="preserve"> set after testing and modeling reveal</w:t>
      </w:r>
      <w:r w:rsidR="001A1CB9">
        <w:t>ed</w:t>
      </w:r>
      <w:r>
        <w:t xml:space="preserve"> </w:t>
      </w:r>
      <w:r w:rsidR="001A1CB9">
        <w:t>what wa</w:t>
      </w:r>
      <w:r w:rsidR="00A90AE0">
        <w:t xml:space="preserve">s </w:t>
      </w:r>
      <w:r w:rsidR="001A1CB9">
        <w:t>achievable</w:t>
      </w:r>
      <w:r>
        <w:t xml:space="preserve">. </w:t>
      </w:r>
    </w:p>
    <w:p w14:paraId="25569F8D" w14:textId="77777777" w:rsidR="006546DA" w:rsidRDefault="006546DA" w:rsidP="00AA2930">
      <w:pPr>
        <w:pStyle w:val="ListParagraph"/>
        <w:spacing w:after="0" w:line="20" w:lineRule="atLeast"/>
        <w:ind w:left="360"/>
        <w:jc w:val="both"/>
      </w:pPr>
    </w:p>
    <w:p w14:paraId="0733A291" w14:textId="77777777" w:rsidR="006546DA" w:rsidRDefault="006546DA" w:rsidP="007052FC">
      <w:pPr>
        <w:pStyle w:val="ListParagraph"/>
        <w:spacing w:after="0" w:line="20" w:lineRule="atLeast"/>
        <w:ind w:left="360"/>
      </w:pPr>
    </w:p>
    <w:p w14:paraId="62F04CF2" w14:textId="77777777" w:rsidR="006546DA" w:rsidRPr="007052FC" w:rsidRDefault="006546DA" w:rsidP="007052FC">
      <w:pPr>
        <w:pStyle w:val="ListParagraph"/>
        <w:spacing w:after="0" w:line="20" w:lineRule="atLeast"/>
        <w:ind w:left="360"/>
      </w:pPr>
    </w:p>
    <w:p w14:paraId="37C4C990" w14:textId="77777777" w:rsidR="00B82486" w:rsidRDefault="00B82486" w:rsidP="00F87FAF">
      <w:pPr>
        <w:spacing w:after="0" w:line="20" w:lineRule="atLeast"/>
      </w:pPr>
      <w:r>
        <w:rPr>
          <w:b/>
        </w:rPr>
        <w:t>Next Steps</w:t>
      </w:r>
    </w:p>
    <w:p w14:paraId="13757780" w14:textId="77777777" w:rsidR="00B87501" w:rsidRPr="00B82486" w:rsidRDefault="006546DA" w:rsidP="00E458D1">
      <w:pPr>
        <w:spacing w:after="0" w:line="20" w:lineRule="atLeast"/>
        <w:jc w:val="both"/>
      </w:pPr>
      <w:r>
        <w:t xml:space="preserve">As part of </w:t>
      </w:r>
      <w:r w:rsidR="00C57688">
        <w:t xml:space="preserve">follow-up evaluation </w:t>
      </w:r>
      <w:r>
        <w:t>closeout activities, t</w:t>
      </w:r>
      <w:r w:rsidR="00D56BFB">
        <w:t>he</w:t>
      </w:r>
      <w:r>
        <w:t xml:space="preserve"> independent </w:t>
      </w:r>
      <w:r w:rsidR="00D56BFB">
        <w:t>evaluation</w:t>
      </w:r>
      <w:r>
        <w:t xml:space="preserve"> team </w:t>
      </w:r>
      <w:r w:rsidR="00D56BFB">
        <w:t xml:space="preserve">is planning </w:t>
      </w:r>
      <w:r w:rsidR="00C57688">
        <w:t xml:space="preserve">to conduct </w:t>
      </w:r>
      <w:r w:rsidR="00D56BFB">
        <w:t>a</w:t>
      </w:r>
      <w:r w:rsidR="00C57688">
        <w:t xml:space="preserve"> </w:t>
      </w:r>
      <w:r w:rsidR="00D56BFB">
        <w:t>workshop</w:t>
      </w:r>
      <w:r w:rsidR="00C57688">
        <w:t xml:space="preserve"> i</w:t>
      </w:r>
      <w:r w:rsidR="002E7CFD">
        <w:t xml:space="preserve">n </w:t>
      </w:r>
      <w:r w:rsidR="00D56BFB">
        <w:t xml:space="preserve">Mongolia in order to </w:t>
      </w:r>
      <w:r w:rsidR="002E7CFD">
        <w:t xml:space="preserve">more broadly </w:t>
      </w:r>
      <w:r w:rsidR="00D56BFB">
        <w:t>disseminate the</w:t>
      </w:r>
      <w:r w:rsidR="002E7CFD">
        <w:t xml:space="preserve"> research</w:t>
      </w:r>
      <w:r w:rsidR="00D56BFB">
        <w:t xml:space="preserve"> findings among </w:t>
      </w:r>
      <w:r w:rsidR="002E7CFD">
        <w:t xml:space="preserve">relevant </w:t>
      </w:r>
      <w:r w:rsidR="00D56BFB">
        <w:t>stakeholders</w:t>
      </w:r>
      <w:r>
        <w:t xml:space="preserve"> in early 2015</w:t>
      </w:r>
      <w:r w:rsidR="00603AC1">
        <w:t>.</w:t>
      </w:r>
    </w:p>
    <w:sectPr w:rsidR="00B87501" w:rsidRPr="00B82486" w:rsidSect="00BF05F1">
      <w:headerReference w:type="default" r:id="rId18"/>
      <w:footerReference w:type="default" r:id="rId19"/>
      <w:headerReference w:type="first" r:id="rId20"/>
      <w:foot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F5C45" w14:textId="77777777" w:rsidR="00C349D4" w:rsidRDefault="00C349D4" w:rsidP="00180067">
      <w:pPr>
        <w:spacing w:after="0" w:line="240" w:lineRule="auto"/>
      </w:pPr>
      <w:r>
        <w:separator/>
      </w:r>
    </w:p>
  </w:endnote>
  <w:endnote w:type="continuationSeparator" w:id="0">
    <w:p w14:paraId="023DADD7" w14:textId="77777777" w:rsidR="00C349D4" w:rsidRDefault="00C349D4" w:rsidP="00180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090446"/>
      <w:docPartObj>
        <w:docPartGallery w:val="Page Numbers (Bottom of Page)"/>
        <w:docPartUnique/>
      </w:docPartObj>
    </w:sdtPr>
    <w:sdtEndPr>
      <w:rPr>
        <w:noProof/>
      </w:rPr>
    </w:sdtEndPr>
    <w:sdtContent>
      <w:p w14:paraId="15A7E6C9" w14:textId="77777777" w:rsidR="007052FC" w:rsidRDefault="007052FC">
        <w:pPr>
          <w:pStyle w:val="Footer"/>
          <w:jc w:val="center"/>
        </w:pPr>
        <w:r>
          <w:fldChar w:fldCharType="begin"/>
        </w:r>
        <w:r>
          <w:instrText xml:space="preserve"> PAGE   \* MERGEFORMAT </w:instrText>
        </w:r>
        <w:r>
          <w:fldChar w:fldCharType="separate"/>
        </w:r>
        <w:r w:rsidR="006D1B52">
          <w:rPr>
            <w:noProof/>
          </w:rPr>
          <w:t>7</w:t>
        </w:r>
        <w:r>
          <w:rPr>
            <w:noProof/>
          </w:rPr>
          <w:fldChar w:fldCharType="end"/>
        </w:r>
      </w:p>
    </w:sdtContent>
  </w:sdt>
  <w:p w14:paraId="654D7A6B" w14:textId="77777777" w:rsidR="007052FC" w:rsidRDefault="007052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6262534"/>
      <w:docPartObj>
        <w:docPartGallery w:val="Page Numbers (Bottom of Page)"/>
        <w:docPartUnique/>
      </w:docPartObj>
    </w:sdtPr>
    <w:sdtEndPr>
      <w:rPr>
        <w:noProof/>
      </w:rPr>
    </w:sdtEndPr>
    <w:sdtContent>
      <w:p w14:paraId="2316450E" w14:textId="77777777" w:rsidR="00C1640F" w:rsidRDefault="00C1640F">
        <w:pPr>
          <w:pStyle w:val="Footer"/>
          <w:jc w:val="right"/>
        </w:pPr>
        <w:r>
          <w:fldChar w:fldCharType="begin"/>
        </w:r>
        <w:r>
          <w:instrText xml:space="preserve"> PAGE   \* MERGEFORMAT </w:instrText>
        </w:r>
        <w:r>
          <w:fldChar w:fldCharType="separate"/>
        </w:r>
        <w:r w:rsidR="006D1B52">
          <w:rPr>
            <w:noProof/>
          </w:rPr>
          <w:t>1</w:t>
        </w:r>
        <w:r>
          <w:rPr>
            <w:noProof/>
          </w:rPr>
          <w:fldChar w:fldCharType="end"/>
        </w:r>
      </w:p>
    </w:sdtContent>
  </w:sdt>
  <w:p w14:paraId="2863FC36" w14:textId="77777777" w:rsidR="00C1640F" w:rsidRDefault="00C164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89A2F" w14:textId="77777777" w:rsidR="00C349D4" w:rsidRDefault="00C349D4" w:rsidP="00180067">
      <w:pPr>
        <w:spacing w:after="0" w:line="240" w:lineRule="auto"/>
      </w:pPr>
      <w:r>
        <w:separator/>
      </w:r>
    </w:p>
  </w:footnote>
  <w:footnote w:type="continuationSeparator" w:id="0">
    <w:p w14:paraId="0C3D7A76" w14:textId="77777777" w:rsidR="00C349D4" w:rsidRDefault="00C349D4" w:rsidP="00180067">
      <w:pPr>
        <w:spacing w:after="0" w:line="240" w:lineRule="auto"/>
      </w:pPr>
      <w:r>
        <w:continuationSeparator/>
      </w:r>
    </w:p>
  </w:footnote>
  <w:footnote w:id="1">
    <w:p w14:paraId="6BC6B80D" w14:textId="77777777" w:rsidR="00331A73" w:rsidRPr="00331A73" w:rsidRDefault="00331A73" w:rsidP="00E458D1">
      <w:pPr>
        <w:pStyle w:val="FootnoteText"/>
        <w:jc w:val="both"/>
      </w:pPr>
      <w:r>
        <w:rPr>
          <w:rStyle w:val="FootnoteReference"/>
        </w:rPr>
        <w:footnoteRef/>
      </w:r>
      <w:r>
        <w:t xml:space="preserve"> </w:t>
      </w:r>
      <w:r w:rsidRPr="00564103">
        <w:rPr>
          <w:sz w:val="18"/>
        </w:rPr>
        <w:t>PM</w:t>
      </w:r>
      <w:r w:rsidRPr="00564103">
        <w:rPr>
          <w:sz w:val="18"/>
          <w:vertAlign w:val="subscript"/>
        </w:rPr>
        <w:t>2.5</w:t>
      </w:r>
      <w:r w:rsidRPr="00564103">
        <w:rPr>
          <w:sz w:val="18"/>
        </w:rPr>
        <w:t xml:space="preserve"> is particulate matter smaller than 2.5</w:t>
      </w:r>
      <w:r w:rsidRPr="00331A73">
        <w:rPr>
          <w:sz w:val="18"/>
        </w:rPr>
        <w:t xml:space="preserve"> </w:t>
      </w:r>
      <w:r w:rsidR="00564103">
        <w:rPr>
          <w:sz w:val="18"/>
        </w:rPr>
        <w:t xml:space="preserve">micrometers. Generally emitted through combustion, </w:t>
      </w:r>
      <w:r w:rsidR="007762A5" w:rsidRPr="00564103">
        <w:rPr>
          <w:sz w:val="18"/>
        </w:rPr>
        <w:t xml:space="preserve">particulate matter </w:t>
      </w:r>
      <w:r w:rsidR="007762A5">
        <w:rPr>
          <w:sz w:val="18"/>
        </w:rPr>
        <w:t xml:space="preserve">is </w:t>
      </w:r>
      <w:r w:rsidR="00564103">
        <w:rPr>
          <w:sz w:val="18"/>
        </w:rPr>
        <w:t>associated with reduced lung function, asthma, coughing, difficulty breathing, and cardiovascular events like heart attacks and chronic obstructive pulmonary disorder.</w:t>
      </w:r>
    </w:p>
  </w:footnote>
  <w:footnote w:id="2">
    <w:p w14:paraId="418FAA7B" w14:textId="77777777" w:rsidR="00D6183E" w:rsidRPr="009D537C" w:rsidRDefault="00D6183E" w:rsidP="00E458D1">
      <w:pPr>
        <w:pStyle w:val="FootnoteText"/>
        <w:jc w:val="both"/>
        <w:rPr>
          <w:sz w:val="18"/>
          <w:szCs w:val="18"/>
        </w:rPr>
      </w:pPr>
      <w:r w:rsidRPr="009D537C">
        <w:rPr>
          <w:rStyle w:val="FootnoteReference"/>
          <w:sz w:val="18"/>
          <w:szCs w:val="18"/>
        </w:rPr>
        <w:footnoteRef/>
      </w:r>
      <w:r w:rsidRPr="009D537C">
        <w:rPr>
          <w:sz w:val="18"/>
          <w:szCs w:val="18"/>
        </w:rPr>
        <w:t xml:space="preserve"> </w:t>
      </w:r>
      <w:r w:rsidR="009D537C" w:rsidRPr="009D537C">
        <w:rPr>
          <w:sz w:val="18"/>
          <w:szCs w:val="18"/>
        </w:rPr>
        <w:t>Many migrants to the capital city have established their gers in outskirt areas of U</w:t>
      </w:r>
      <w:r w:rsidR="009D537C">
        <w:rPr>
          <w:sz w:val="18"/>
          <w:szCs w:val="18"/>
        </w:rPr>
        <w:t>laanbaatar</w:t>
      </w:r>
      <w:r w:rsidR="009D537C" w:rsidRPr="009D537C">
        <w:rPr>
          <w:sz w:val="18"/>
          <w:szCs w:val="18"/>
        </w:rPr>
        <w:t>, thereby receiving the name “ger district.” However, both gers and standard h</w:t>
      </w:r>
      <w:r w:rsidR="009D537C">
        <w:rPr>
          <w:sz w:val="18"/>
          <w:szCs w:val="18"/>
        </w:rPr>
        <w:t>ouses are located in this area.</w:t>
      </w:r>
    </w:p>
  </w:footnote>
  <w:footnote w:id="3">
    <w:p w14:paraId="3F8C0FEB" w14:textId="77777777" w:rsidR="00D6183E" w:rsidRPr="00286AFC" w:rsidRDefault="00D6183E" w:rsidP="00E458D1">
      <w:pPr>
        <w:pStyle w:val="FootnoteText"/>
        <w:jc w:val="both"/>
        <w:rPr>
          <w:sz w:val="18"/>
          <w:szCs w:val="18"/>
        </w:rPr>
      </w:pPr>
      <w:r w:rsidRPr="00D6183E">
        <w:rPr>
          <w:rStyle w:val="FootnoteReference"/>
        </w:rPr>
        <w:footnoteRef/>
      </w:r>
      <w:r w:rsidRPr="00D6183E">
        <w:t xml:space="preserve"> </w:t>
      </w:r>
      <w:r w:rsidRPr="00286AFC">
        <w:rPr>
          <w:sz w:val="18"/>
          <w:szCs w:val="18"/>
        </w:rPr>
        <w:t xml:space="preserve">These tables reflect data from the final approved closeout MCA-Mongolia Indicator Tracking Table (ITT). Please note the Evaluation Report references data from earlier ITTs which may explain some </w:t>
      </w:r>
      <w:r w:rsidR="001C559A">
        <w:rPr>
          <w:sz w:val="18"/>
          <w:szCs w:val="18"/>
        </w:rPr>
        <w:t xml:space="preserve">minor </w:t>
      </w:r>
      <w:r w:rsidRPr="00286AFC">
        <w:rPr>
          <w:sz w:val="18"/>
          <w:szCs w:val="18"/>
        </w:rPr>
        <w:t>discrepanc</w:t>
      </w:r>
      <w:r w:rsidR="00EE100B">
        <w:rPr>
          <w:sz w:val="18"/>
          <w:szCs w:val="18"/>
        </w:rPr>
        <w:t>ies in results statements</w:t>
      </w:r>
      <w:r w:rsidRPr="00286AFC">
        <w:rPr>
          <w:sz w:val="18"/>
          <w:szCs w:val="18"/>
        </w:rPr>
        <w:t>.</w:t>
      </w:r>
    </w:p>
  </w:footnote>
  <w:footnote w:id="4">
    <w:p w14:paraId="7B4B7F09" w14:textId="77777777" w:rsidR="00D62A36" w:rsidRPr="00D62A36" w:rsidRDefault="00D62A36" w:rsidP="00E458D1">
      <w:pPr>
        <w:pStyle w:val="FootnoteText"/>
        <w:jc w:val="both"/>
        <w:rPr>
          <w:sz w:val="18"/>
          <w:szCs w:val="18"/>
        </w:rPr>
      </w:pPr>
      <w:r w:rsidRPr="00D62A36">
        <w:rPr>
          <w:rStyle w:val="FootnoteReference"/>
          <w:sz w:val="18"/>
          <w:szCs w:val="18"/>
        </w:rPr>
        <w:footnoteRef/>
      </w:r>
      <w:r w:rsidRPr="00D62A36">
        <w:rPr>
          <w:sz w:val="18"/>
          <w:szCs w:val="18"/>
        </w:rPr>
        <w:t xml:space="preserve"> This indicator </w:t>
      </w:r>
      <w:r>
        <w:rPr>
          <w:sz w:val="18"/>
          <w:szCs w:val="18"/>
        </w:rPr>
        <w:t xml:space="preserve">represents emissions measured from approximately 5pm through 9am, </w:t>
      </w:r>
      <w:r w:rsidRPr="00D62A36">
        <w:rPr>
          <w:sz w:val="18"/>
          <w:szCs w:val="18"/>
        </w:rPr>
        <w:t>weighted by the number of each stove type sold in Ulaanbaatar.</w:t>
      </w:r>
    </w:p>
  </w:footnote>
  <w:footnote w:id="5">
    <w:p w14:paraId="1A558637" w14:textId="77777777" w:rsidR="00E956D4" w:rsidRDefault="00E956D4" w:rsidP="00E458D1">
      <w:pPr>
        <w:pStyle w:val="FootnoteText"/>
        <w:jc w:val="both"/>
      </w:pPr>
      <w:r>
        <w:rPr>
          <w:rStyle w:val="FootnoteReference"/>
        </w:rPr>
        <w:footnoteRef/>
      </w:r>
      <w:r>
        <w:t xml:space="preserve"> </w:t>
      </w:r>
      <w:r>
        <w:rPr>
          <w:sz w:val="18"/>
          <w:szCs w:val="18"/>
        </w:rPr>
        <w:t xml:space="preserve">This </w:t>
      </w:r>
      <w:r w:rsidRPr="00ED2448">
        <w:rPr>
          <w:sz w:val="18"/>
          <w:szCs w:val="18"/>
        </w:rPr>
        <w:t xml:space="preserve">result is not </w:t>
      </w:r>
      <w:r>
        <w:rPr>
          <w:sz w:val="18"/>
          <w:szCs w:val="18"/>
        </w:rPr>
        <w:t xml:space="preserve">statistically </w:t>
      </w:r>
      <w:r w:rsidRPr="00ED2448">
        <w:rPr>
          <w:sz w:val="18"/>
          <w:szCs w:val="18"/>
        </w:rPr>
        <w:t xml:space="preserve">significant, indicating </w:t>
      </w:r>
      <w:r>
        <w:rPr>
          <w:sz w:val="18"/>
          <w:szCs w:val="18"/>
        </w:rPr>
        <w:t xml:space="preserve">that </w:t>
      </w:r>
      <w:r w:rsidRPr="00ED2448">
        <w:rPr>
          <w:sz w:val="18"/>
          <w:szCs w:val="18"/>
        </w:rPr>
        <w:t>no meaningful difference between traditional and MCA stove</w:t>
      </w:r>
      <w:r>
        <w:rPr>
          <w:sz w:val="18"/>
          <w:szCs w:val="18"/>
        </w:rPr>
        <w:t>s could be detected by this evaluation.</w:t>
      </w:r>
    </w:p>
  </w:footnote>
  <w:footnote w:id="6">
    <w:p w14:paraId="5E0AAEE4" w14:textId="77777777" w:rsidR="00E13C47" w:rsidRDefault="00E13C47" w:rsidP="00E458D1">
      <w:pPr>
        <w:pStyle w:val="FootnoteText"/>
        <w:jc w:val="both"/>
      </w:pPr>
      <w:r>
        <w:rPr>
          <w:rStyle w:val="FootnoteReference"/>
        </w:rPr>
        <w:footnoteRef/>
      </w:r>
      <w:r>
        <w:t xml:space="preserve"> </w:t>
      </w:r>
      <w:r>
        <w:rPr>
          <w:sz w:val="18"/>
          <w:szCs w:val="18"/>
        </w:rPr>
        <w:t>Original target specified as “Equal to traditional stoves.” This t</w:t>
      </w:r>
      <w:r w:rsidRPr="00286AFC">
        <w:rPr>
          <w:sz w:val="18"/>
          <w:szCs w:val="18"/>
        </w:rPr>
        <w:t xml:space="preserve">arget is set equal to the baseline to capture the intention that levels of </w:t>
      </w:r>
      <w:r>
        <w:rPr>
          <w:sz w:val="18"/>
          <w:szCs w:val="18"/>
        </w:rPr>
        <w:t>CO</w:t>
      </w:r>
      <w:r w:rsidRPr="00286AFC">
        <w:rPr>
          <w:sz w:val="18"/>
          <w:szCs w:val="18"/>
        </w:rPr>
        <w:t xml:space="preserve"> concentration in</w:t>
      </w:r>
      <w:r>
        <w:rPr>
          <w:sz w:val="18"/>
          <w:szCs w:val="18"/>
        </w:rPr>
        <w:t xml:space="preserve"> households (</w:t>
      </w:r>
      <w:r w:rsidRPr="00286AFC">
        <w:rPr>
          <w:sz w:val="18"/>
          <w:szCs w:val="18"/>
        </w:rPr>
        <w:t>HHs</w:t>
      </w:r>
      <w:r>
        <w:rPr>
          <w:sz w:val="18"/>
          <w:szCs w:val="18"/>
        </w:rPr>
        <w:t>)</w:t>
      </w:r>
      <w:r w:rsidRPr="00286AFC">
        <w:rPr>
          <w:sz w:val="18"/>
          <w:szCs w:val="18"/>
        </w:rPr>
        <w:t xml:space="preserve"> </w:t>
      </w:r>
      <w:r>
        <w:rPr>
          <w:sz w:val="18"/>
          <w:szCs w:val="18"/>
        </w:rPr>
        <w:t>with MCA stoves not exceed that</w:t>
      </w:r>
      <w:r w:rsidRPr="00286AFC">
        <w:rPr>
          <w:sz w:val="18"/>
          <w:szCs w:val="18"/>
        </w:rPr>
        <w:t xml:space="preserve"> of HHs with traditional stoves</w:t>
      </w:r>
    </w:p>
  </w:footnote>
  <w:footnote w:id="7">
    <w:p w14:paraId="5AE44289" w14:textId="77777777" w:rsidR="00E956D4" w:rsidRDefault="00E956D4" w:rsidP="00E458D1">
      <w:pPr>
        <w:pStyle w:val="FootnoteText"/>
        <w:jc w:val="both"/>
      </w:pPr>
      <w:r>
        <w:rPr>
          <w:rStyle w:val="FootnoteReference"/>
        </w:rPr>
        <w:footnoteRef/>
      </w:r>
      <w:r>
        <w:t xml:space="preserve"> </w:t>
      </w:r>
      <w:r w:rsidRPr="004B4421">
        <w:rPr>
          <w:sz w:val="18"/>
          <w:szCs w:val="18"/>
        </w:rPr>
        <w:t>The result is expressed textually as it is not mathematically possible to express in numerical terms as the end of compact target is equal to the baseline value.</w:t>
      </w:r>
    </w:p>
  </w:footnote>
  <w:footnote w:id="8">
    <w:p w14:paraId="01D95638" w14:textId="77777777" w:rsidR="00E13C47" w:rsidRDefault="00E13C47" w:rsidP="00E458D1">
      <w:pPr>
        <w:pStyle w:val="FootnoteText"/>
        <w:jc w:val="both"/>
      </w:pPr>
      <w:r>
        <w:rPr>
          <w:rStyle w:val="FootnoteReference"/>
        </w:rPr>
        <w:footnoteRef/>
      </w:r>
      <w:r>
        <w:t xml:space="preserve"> </w:t>
      </w:r>
      <w:r>
        <w:rPr>
          <w:sz w:val="18"/>
          <w:szCs w:val="18"/>
        </w:rPr>
        <w:t>Original target specified as “Equal to traditional stoves.” This t</w:t>
      </w:r>
      <w:r w:rsidRPr="00286AFC">
        <w:rPr>
          <w:sz w:val="18"/>
          <w:szCs w:val="18"/>
        </w:rPr>
        <w:t xml:space="preserve">arget is set equal to the baseline to capture the intention that levels of </w:t>
      </w:r>
      <w:r>
        <w:rPr>
          <w:sz w:val="18"/>
          <w:szCs w:val="18"/>
        </w:rPr>
        <w:t>PM</w:t>
      </w:r>
      <w:r w:rsidRPr="00E956D4">
        <w:rPr>
          <w:sz w:val="18"/>
          <w:szCs w:val="18"/>
          <w:vertAlign w:val="subscript"/>
        </w:rPr>
        <w:t>2.5</w:t>
      </w:r>
      <w:r>
        <w:rPr>
          <w:sz w:val="18"/>
          <w:szCs w:val="18"/>
        </w:rPr>
        <w:t xml:space="preserve"> </w:t>
      </w:r>
      <w:r w:rsidRPr="00286AFC">
        <w:rPr>
          <w:sz w:val="18"/>
          <w:szCs w:val="18"/>
        </w:rPr>
        <w:t xml:space="preserve">concentration in HHs </w:t>
      </w:r>
      <w:r>
        <w:rPr>
          <w:sz w:val="18"/>
          <w:szCs w:val="18"/>
        </w:rPr>
        <w:t>with MCA stoves not exceed that</w:t>
      </w:r>
      <w:r w:rsidRPr="00286AFC">
        <w:rPr>
          <w:sz w:val="18"/>
          <w:szCs w:val="18"/>
        </w:rPr>
        <w:t xml:space="preserve"> of HHs with traditional stoves.</w:t>
      </w:r>
    </w:p>
  </w:footnote>
  <w:footnote w:id="9">
    <w:p w14:paraId="09CD4AA9" w14:textId="77777777" w:rsidR="00E956D4" w:rsidRDefault="00E956D4" w:rsidP="00E458D1">
      <w:pPr>
        <w:pStyle w:val="FootnoteText"/>
        <w:jc w:val="both"/>
      </w:pPr>
      <w:r>
        <w:rPr>
          <w:rStyle w:val="FootnoteReference"/>
        </w:rPr>
        <w:footnoteRef/>
      </w:r>
      <w:r>
        <w:t xml:space="preserve"> </w:t>
      </w:r>
      <w:r w:rsidRPr="004B4421">
        <w:rPr>
          <w:sz w:val="18"/>
          <w:szCs w:val="18"/>
        </w:rPr>
        <w:t>The result is expressed textually as it is not mathematically possible to express in numerical terms as the end of compact target is equal to the baseline value.</w:t>
      </w:r>
    </w:p>
  </w:footnote>
  <w:footnote w:id="10">
    <w:p w14:paraId="23B5DE3C" w14:textId="77777777" w:rsidR="006908EB" w:rsidRDefault="006908EB" w:rsidP="00E458D1">
      <w:pPr>
        <w:pStyle w:val="FootnoteText"/>
        <w:jc w:val="both"/>
      </w:pPr>
      <w:r w:rsidRPr="00D43D4A">
        <w:rPr>
          <w:rStyle w:val="FootnoteReference"/>
          <w:sz w:val="18"/>
          <w:szCs w:val="18"/>
        </w:rPr>
        <w:footnoteRef/>
      </w:r>
      <w:r w:rsidRPr="00D43D4A">
        <w:rPr>
          <w:sz w:val="18"/>
          <w:szCs w:val="18"/>
        </w:rPr>
        <w:t xml:space="preserve"> Proportion of participating households (defined as having an MCA stove in the home) that actually utilize the MCA stove.</w:t>
      </w:r>
    </w:p>
  </w:footnote>
  <w:footnote w:id="11">
    <w:p w14:paraId="131B6E0B" w14:textId="77777777" w:rsidR="006529A1" w:rsidRDefault="006529A1" w:rsidP="00E458D1">
      <w:pPr>
        <w:pStyle w:val="FootnoteText"/>
        <w:jc w:val="both"/>
      </w:pPr>
      <w:r>
        <w:rPr>
          <w:rStyle w:val="FootnoteReference"/>
        </w:rPr>
        <w:footnoteRef/>
      </w:r>
      <w:r>
        <w:t xml:space="preserve"> </w:t>
      </w:r>
      <w:r w:rsidRPr="00BE79FA">
        <w:rPr>
          <w:sz w:val="18"/>
          <w:szCs w:val="18"/>
        </w:rPr>
        <w:t>The difference of 1.84°C (3.33°F) is statistically significant at p=0.029.</w:t>
      </w:r>
    </w:p>
  </w:footnote>
  <w:footnote w:id="12">
    <w:p w14:paraId="1E5966D0" w14:textId="77777777" w:rsidR="00D6183E" w:rsidRPr="009D537C" w:rsidRDefault="00D6183E" w:rsidP="00E458D1">
      <w:pPr>
        <w:pStyle w:val="FootnoteText"/>
        <w:jc w:val="both"/>
        <w:rPr>
          <w:sz w:val="18"/>
          <w:szCs w:val="18"/>
        </w:rPr>
      </w:pPr>
      <w:r w:rsidRPr="009D537C">
        <w:rPr>
          <w:rStyle w:val="FootnoteReference"/>
          <w:sz w:val="18"/>
          <w:szCs w:val="18"/>
        </w:rPr>
        <w:footnoteRef/>
      </w:r>
      <w:r w:rsidRPr="009D537C">
        <w:rPr>
          <w:sz w:val="18"/>
          <w:szCs w:val="18"/>
        </w:rPr>
        <w:t xml:space="preserve"> </w:t>
      </w:r>
      <w:r w:rsidRPr="009D537C">
        <w:rPr>
          <w:rFonts w:ascii="Calibri" w:eastAsia="Times New Roman" w:hAnsi="Calibri" w:cs="Times New Roman"/>
          <w:sz w:val="18"/>
          <w:szCs w:val="18"/>
        </w:rPr>
        <w:t xml:space="preserve">Preliminary data </w:t>
      </w:r>
      <w:r w:rsidRPr="009D537C">
        <w:rPr>
          <w:rFonts w:ascii="Calibri" w:eastAsia="Times New Roman" w:hAnsi="Calibri" w:cs="Times New Roman"/>
          <w:color w:val="000000"/>
          <w:sz w:val="18"/>
          <w:szCs w:val="18"/>
        </w:rPr>
        <w:t>were collected in the second half of the winter of 2011-2012 in order to calibrate measurement methods and sample sizes.</w:t>
      </w:r>
    </w:p>
  </w:footnote>
  <w:footnote w:id="13">
    <w:p w14:paraId="66CA0E58" w14:textId="77777777" w:rsidR="00096024" w:rsidRPr="009D537C" w:rsidRDefault="00096024" w:rsidP="00E458D1">
      <w:pPr>
        <w:pStyle w:val="FootnoteText"/>
        <w:jc w:val="both"/>
        <w:rPr>
          <w:sz w:val="18"/>
          <w:szCs w:val="18"/>
        </w:rPr>
      </w:pPr>
      <w:r w:rsidRPr="009D537C">
        <w:rPr>
          <w:rStyle w:val="FootnoteReference"/>
          <w:sz w:val="18"/>
          <w:szCs w:val="18"/>
        </w:rPr>
        <w:footnoteRef/>
      </w:r>
      <w:r w:rsidRPr="009D537C">
        <w:rPr>
          <w:sz w:val="18"/>
          <w:szCs w:val="18"/>
        </w:rPr>
        <w:t xml:space="preserve"> </w:t>
      </w:r>
      <w:r w:rsidR="00FB477D" w:rsidRPr="00FB477D">
        <w:rPr>
          <w:sz w:val="18"/>
          <w:szCs w:val="18"/>
        </w:rPr>
        <w:t>MCA stove users performed 0.33 fewer daily fueling events than traditional stove users (p&lt;0.001) but utilized 0.72 kg more coal (p=0.001) on average at each fueling, a 14% increase, thereby equalizing total daily quantities of fuel used by the two groups</w:t>
      </w:r>
      <w:r w:rsidR="00FB477D">
        <w:rPr>
          <w:sz w:val="18"/>
          <w:szCs w:val="18"/>
        </w:rPr>
        <w:t>. However, w</w:t>
      </w:r>
      <w:r w:rsidR="00FB477D" w:rsidRPr="00FB477D">
        <w:rPr>
          <w:sz w:val="18"/>
          <w:szCs w:val="18"/>
        </w:rPr>
        <w:t>hen fuel consumption was compared between MCA stove users correctly following use instructions and traditional stove users, MCA stove users were observed to have 17% reductions in daily coal consumption (p&lt;0.01).</w:t>
      </w:r>
    </w:p>
  </w:footnote>
  <w:footnote w:id="14">
    <w:p w14:paraId="709520D1" w14:textId="77777777" w:rsidR="00096024" w:rsidRPr="009D537C" w:rsidRDefault="00096024" w:rsidP="00E458D1">
      <w:pPr>
        <w:pStyle w:val="FootnoteText"/>
        <w:jc w:val="both"/>
        <w:rPr>
          <w:sz w:val="18"/>
          <w:szCs w:val="18"/>
        </w:rPr>
      </w:pPr>
      <w:r w:rsidRPr="009D537C">
        <w:rPr>
          <w:rStyle w:val="FootnoteReference"/>
          <w:sz w:val="18"/>
          <w:szCs w:val="18"/>
        </w:rPr>
        <w:footnoteRef/>
      </w:r>
      <w:r w:rsidRPr="009D537C">
        <w:rPr>
          <w:sz w:val="18"/>
          <w:szCs w:val="18"/>
        </w:rPr>
        <w:t xml:space="preserve"> </w:t>
      </w:r>
      <w:r w:rsidR="00C94F12" w:rsidRPr="00FB477D">
        <w:rPr>
          <w:sz w:val="18"/>
          <w:szCs w:val="18"/>
        </w:rPr>
        <w:t xml:space="preserve">MCA stove owners </w:t>
      </w:r>
      <w:r w:rsidR="00C83124">
        <w:rPr>
          <w:sz w:val="18"/>
          <w:szCs w:val="18"/>
        </w:rPr>
        <w:t xml:space="preserve">as a whole </w:t>
      </w:r>
      <w:r w:rsidR="00C94F12" w:rsidRPr="00FB477D">
        <w:rPr>
          <w:sz w:val="18"/>
          <w:szCs w:val="18"/>
        </w:rPr>
        <w:t>spent MNT 1,055 less on coal each month than traditional stove owners, or an estimated 6,333 less across six months of winter, but this difference was not significant.</w:t>
      </w:r>
    </w:p>
  </w:footnote>
  <w:footnote w:id="15">
    <w:p w14:paraId="2418E82A" w14:textId="77777777" w:rsidR="009001EF" w:rsidRPr="00536C5C" w:rsidRDefault="009001EF" w:rsidP="00E458D1">
      <w:pPr>
        <w:spacing w:after="0" w:line="20" w:lineRule="atLeast"/>
        <w:jc w:val="both"/>
        <w:rPr>
          <w:i/>
          <w:color w:val="FF0000"/>
        </w:rPr>
      </w:pPr>
      <w:r w:rsidRPr="00047079">
        <w:rPr>
          <w:rStyle w:val="FootnoteReference"/>
        </w:rPr>
        <w:footnoteRef/>
      </w:r>
      <w:r w:rsidRPr="00047079">
        <w:t xml:space="preserve"> </w:t>
      </w:r>
      <w:r w:rsidR="00510D9E">
        <w:rPr>
          <w:sz w:val="18"/>
          <w:szCs w:val="18"/>
        </w:rPr>
        <w:t>T</w:t>
      </w:r>
      <w:r w:rsidRPr="00047079">
        <w:rPr>
          <w:sz w:val="18"/>
          <w:szCs w:val="18"/>
        </w:rPr>
        <w:t>he survey methods and the sample size were not designed to measure health outcomes</w:t>
      </w:r>
      <w:r w:rsidR="00047079" w:rsidRPr="00047079">
        <w:rPr>
          <w:sz w:val="18"/>
          <w:szCs w:val="18"/>
        </w:rPr>
        <w:t>.</w:t>
      </w:r>
      <w:r w:rsidRPr="00047079">
        <w:rPr>
          <w:sz w:val="18"/>
          <w:szCs w:val="18"/>
        </w:rPr>
        <w:t xml:space="preserve"> Respondents were asked to report current respiratory, cardiac, and dermal symptoms experienced by household members in vulnerable age groups (&lt;5 and &gt;60 years old), to collect some data on symptoms that could be associated with air pollution. However, by design, no precise conclusions with regard to health could be made from these data, as these data represented self-reported symptoms rather than disease incidence.</w:t>
      </w:r>
      <w:r w:rsidRPr="00047079">
        <w:rPr>
          <w:i/>
        </w:rPr>
        <w:t xml:space="preserve"> </w:t>
      </w:r>
    </w:p>
    <w:p w14:paraId="6A8F5F02" w14:textId="77777777" w:rsidR="009001EF" w:rsidRDefault="009001EF">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671091"/>
      <w:docPartObj>
        <w:docPartGallery w:val="Page Numbers (Top of Page)"/>
        <w:docPartUnique/>
      </w:docPartObj>
    </w:sdtPr>
    <w:sdtEndPr>
      <w:rPr>
        <w:noProof/>
      </w:rPr>
    </w:sdtEndPr>
    <w:sdtContent>
      <w:p w14:paraId="6DB0E417" w14:textId="77777777" w:rsidR="00C1640F" w:rsidRDefault="00C1640F">
        <w:pPr>
          <w:pStyle w:val="Header"/>
          <w:jc w:val="right"/>
        </w:pPr>
        <w:r>
          <w:fldChar w:fldCharType="begin"/>
        </w:r>
        <w:r>
          <w:instrText xml:space="preserve"> PAGE   \* MERGEFORMAT </w:instrText>
        </w:r>
        <w:r>
          <w:fldChar w:fldCharType="separate"/>
        </w:r>
        <w:r w:rsidR="006D1B52">
          <w:rPr>
            <w:noProof/>
          </w:rPr>
          <w:t>7</w:t>
        </w:r>
        <w:r>
          <w:rPr>
            <w:noProof/>
          </w:rPr>
          <w:fldChar w:fldCharType="end"/>
        </w:r>
      </w:p>
    </w:sdtContent>
  </w:sdt>
  <w:p w14:paraId="362B370C" w14:textId="77777777" w:rsidR="00C1640F" w:rsidRDefault="00C164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F31C3" w14:textId="77777777" w:rsidR="00BF05F1" w:rsidRDefault="00BF05F1">
    <w:pPr>
      <w:pStyle w:val="Header"/>
    </w:pPr>
    <w:r>
      <w:rPr>
        <w:rFonts w:ascii="Times New Roman" w:hAnsi="Times New Roman" w:cs="Times New Roman"/>
        <w:noProof/>
        <w:sz w:val="24"/>
        <w:szCs w:val="24"/>
      </w:rPr>
      <w:drawing>
        <wp:anchor distT="0" distB="0" distL="114300" distR="114300" simplePos="0" relativeHeight="251659264" behindDoc="1" locked="0" layoutInCell="1" allowOverlap="1" wp14:anchorId="47D53258" wp14:editId="58F9372E">
          <wp:simplePos x="0" y="0"/>
          <wp:positionH relativeFrom="margin">
            <wp:posOffset>-503168</wp:posOffset>
          </wp:positionH>
          <wp:positionV relativeFrom="paragraph">
            <wp:posOffset>-106680</wp:posOffset>
          </wp:positionV>
          <wp:extent cx="1066800" cy="1109980"/>
          <wp:effectExtent l="0" t="0" r="0" b="0"/>
          <wp:wrapTight wrapText="bothSides">
            <wp:wrapPolygon edited="0">
              <wp:start x="0" y="0"/>
              <wp:lineTo x="0" y="21130"/>
              <wp:lineTo x="21214" y="21130"/>
              <wp:lineTo x="212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10998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DBE5704"/>
    <w:lvl w:ilvl="0">
      <w:start w:val="1"/>
      <w:numFmt w:val="bullet"/>
      <w:pStyle w:val="NoteLevel11"/>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cs="Courier New"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cs="Courier New"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1"/>
      <w:lvlText w:val=""/>
      <w:lvlJc w:val="left"/>
      <w:pPr>
        <w:tabs>
          <w:tab w:val="num" w:pos="5760"/>
        </w:tabs>
        <w:ind w:left="6120" w:hanging="360"/>
      </w:pPr>
      <w:rPr>
        <w:rFonts w:ascii="Wingdings" w:hAnsi="Wingdings" w:hint="default"/>
      </w:rPr>
    </w:lvl>
  </w:abstractNum>
  <w:abstractNum w:abstractNumId="1">
    <w:nsid w:val="00003656"/>
    <w:multiLevelType w:val="hybridMultilevel"/>
    <w:tmpl w:val="D75C7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219B1"/>
    <w:multiLevelType w:val="hybridMultilevel"/>
    <w:tmpl w:val="8D5A4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1D227F"/>
    <w:multiLevelType w:val="hybridMultilevel"/>
    <w:tmpl w:val="16669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137BF3"/>
    <w:multiLevelType w:val="hybridMultilevel"/>
    <w:tmpl w:val="8B4E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77186F"/>
    <w:multiLevelType w:val="hybridMultilevel"/>
    <w:tmpl w:val="3F540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527A5C"/>
    <w:multiLevelType w:val="hybridMultilevel"/>
    <w:tmpl w:val="C8748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116AC2"/>
    <w:multiLevelType w:val="hybridMultilevel"/>
    <w:tmpl w:val="E28001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5C70007E"/>
    <w:multiLevelType w:val="hybridMultilevel"/>
    <w:tmpl w:val="23DCF968"/>
    <w:lvl w:ilvl="0" w:tplc="8BCCAED4">
      <w:start w:val="1"/>
      <w:numFmt w:val="bullet"/>
      <w:lvlText w:val="•"/>
      <w:lvlJc w:val="left"/>
      <w:pPr>
        <w:tabs>
          <w:tab w:val="num" w:pos="720"/>
        </w:tabs>
        <w:ind w:left="720" w:hanging="360"/>
      </w:pPr>
      <w:rPr>
        <w:rFonts w:ascii="Times New Roman" w:hAnsi="Times New Roman" w:hint="default"/>
      </w:rPr>
    </w:lvl>
    <w:lvl w:ilvl="1" w:tplc="895E8474" w:tentative="1">
      <w:start w:val="1"/>
      <w:numFmt w:val="bullet"/>
      <w:lvlText w:val="•"/>
      <w:lvlJc w:val="left"/>
      <w:pPr>
        <w:tabs>
          <w:tab w:val="num" w:pos="1440"/>
        </w:tabs>
        <w:ind w:left="1440" w:hanging="360"/>
      </w:pPr>
      <w:rPr>
        <w:rFonts w:ascii="Times New Roman" w:hAnsi="Times New Roman" w:hint="default"/>
      </w:rPr>
    </w:lvl>
    <w:lvl w:ilvl="2" w:tplc="B6AC97BC" w:tentative="1">
      <w:start w:val="1"/>
      <w:numFmt w:val="bullet"/>
      <w:lvlText w:val="•"/>
      <w:lvlJc w:val="left"/>
      <w:pPr>
        <w:tabs>
          <w:tab w:val="num" w:pos="2160"/>
        </w:tabs>
        <w:ind w:left="2160" w:hanging="360"/>
      </w:pPr>
      <w:rPr>
        <w:rFonts w:ascii="Times New Roman" w:hAnsi="Times New Roman" w:hint="default"/>
      </w:rPr>
    </w:lvl>
    <w:lvl w:ilvl="3" w:tplc="8D546CDC" w:tentative="1">
      <w:start w:val="1"/>
      <w:numFmt w:val="bullet"/>
      <w:lvlText w:val="•"/>
      <w:lvlJc w:val="left"/>
      <w:pPr>
        <w:tabs>
          <w:tab w:val="num" w:pos="2880"/>
        </w:tabs>
        <w:ind w:left="2880" w:hanging="360"/>
      </w:pPr>
      <w:rPr>
        <w:rFonts w:ascii="Times New Roman" w:hAnsi="Times New Roman" w:hint="default"/>
      </w:rPr>
    </w:lvl>
    <w:lvl w:ilvl="4" w:tplc="90F0B3B4" w:tentative="1">
      <w:start w:val="1"/>
      <w:numFmt w:val="bullet"/>
      <w:lvlText w:val="•"/>
      <w:lvlJc w:val="left"/>
      <w:pPr>
        <w:tabs>
          <w:tab w:val="num" w:pos="3600"/>
        </w:tabs>
        <w:ind w:left="3600" w:hanging="360"/>
      </w:pPr>
      <w:rPr>
        <w:rFonts w:ascii="Times New Roman" w:hAnsi="Times New Roman" w:hint="default"/>
      </w:rPr>
    </w:lvl>
    <w:lvl w:ilvl="5" w:tplc="763EC7D2" w:tentative="1">
      <w:start w:val="1"/>
      <w:numFmt w:val="bullet"/>
      <w:lvlText w:val="•"/>
      <w:lvlJc w:val="left"/>
      <w:pPr>
        <w:tabs>
          <w:tab w:val="num" w:pos="4320"/>
        </w:tabs>
        <w:ind w:left="4320" w:hanging="360"/>
      </w:pPr>
      <w:rPr>
        <w:rFonts w:ascii="Times New Roman" w:hAnsi="Times New Roman" w:hint="default"/>
      </w:rPr>
    </w:lvl>
    <w:lvl w:ilvl="6" w:tplc="6C6E3AA0" w:tentative="1">
      <w:start w:val="1"/>
      <w:numFmt w:val="bullet"/>
      <w:lvlText w:val="•"/>
      <w:lvlJc w:val="left"/>
      <w:pPr>
        <w:tabs>
          <w:tab w:val="num" w:pos="5040"/>
        </w:tabs>
        <w:ind w:left="5040" w:hanging="360"/>
      </w:pPr>
      <w:rPr>
        <w:rFonts w:ascii="Times New Roman" w:hAnsi="Times New Roman" w:hint="default"/>
      </w:rPr>
    </w:lvl>
    <w:lvl w:ilvl="7" w:tplc="7A92A9AC" w:tentative="1">
      <w:start w:val="1"/>
      <w:numFmt w:val="bullet"/>
      <w:lvlText w:val="•"/>
      <w:lvlJc w:val="left"/>
      <w:pPr>
        <w:tabs>
          <w:tab w:val="num" w:pos="5760"/>
        </w:tabs>
        <w:ind w:left="5760" w:hanging="360"/>
      </w:pPr>
      <w:rPr>
        <w:rFonts w:ascii="Times New Roman" w:hAnsi="Times New Roman" w:hint="default"/>
      </w:rPr>
    </w:lvl>
    <w:lvl w:ilvl="8" w:tplc="BA6AEF22"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3"/>
  </w:num>
  <w:num w:numId="3">
    <w:abstractNumId w:val="4"/>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486"/>
    <w:rsid w:val="000063C6"/>
    <w:rsid w:val="00014385"/>
    <w:rsid w:val="00024FE5"/>
    <w:rsid w:val="000274EB"/>
    <w:rsid w:val="0003609C"/>
    <w:rsid w:val="00042B2A"/>
    <w:rsid w:val="00047079"/>
    <w:rsid w:val="00055623"/>
    <w:rsid w:val="00070573"/>
    <w:rsid w:val="000729E5"/>
    <w:rsid w:val="00074A58"/>
    <w:rsid w:val="00075A50"/>
    <w:rsid w:val="00076C7A"/>
    <w:rsid w:val="0008776C"/>
    <w:rsid w:val="000945BD"/>
    <w:rsid w:val="00096024"/>
    <w:rsid w:val="00097F6E"/>
    <w:rsid w:val="000A29EA"/>
    <w:rsid w:val="000A7DAD"/>
    <w:rsid w:val="000B0E6D"/>
    <w:rsid w:val="000B1F04"/>
    <w:rsid w:val="000C5FB8"/>
    <w:rsid w:val="000D5BA9"/>
    <w:rsid w:val="000F4885"/>
    <w:rsid w:val="000F4EF6"/>
    <w:rsid w:val="001037AB"/>
    <w:rsid w:val="00112956"/>
    <w:rsid w:val="00120A22"/>
    <w:rsid w:val="00130F64"/>
    <w:rsid w:val="00132E08"/>
    <w:rsid w:val="0013592F"/>
    <w:rsid w:val="00136290"/>
    <w:rsid w:val="00136FA4"/>
    <w:rsid w:val="00141DC6"/>
    <w:rsid w:val="001474E5"/>
    <w:rsid w:val="00164416"/>
    <w:rsid w:val="00171894"/>
    <w:rsid w:val="00174462"/>
    <w:rsid w:val="001748D4"/>
    <w:rsid w:val="00176AB5"/>
    <w:rsid w:val="00180067"/>
    <w:rsid w:val="00191FF6"/>
    <w:rsid w:val="001958D0"/>
    <w:rsid w:val="00196754"/>
    <w:rsid w:val="001970BF"/>
    <w:rsid w:val="001A1832"/>
    <w:rsid w:val="001A1CB9"/>
    <w:rsid w:val="001A3935"/>
    <w:rsid w:val="001C3ACE"/>
    <w:rsid w:val="001C559A"/>
    <w:rsid w:val="001D0BA6"/>
    <w:rsid w:val="001D4065"/>
    <w:rsid w:val="001D4219"/>
    <w:rsid w:val="001E03EC"/>
    <w:rsid w:val="001E3F37"/>
    <w:rsid w:val="0020736B"/>
    <w:rsid w:val="00207ECF"/>
    <w:rsid w:val="00213A70"/>
    <w:rsid w:val="0022450F"/>
    <w:rsid w:val="0023046B"/>
    <w:rsid w:val="002355B0"/>
    <w:rsid w:val="00243164"/>
    <w:rsid w:val="002679AF"/>
    <w:rsid w:val="00270761"/>
    <w:rsid w:val="0027087D"/>
    <w:rsid w:val="00270F82"/>
    <w:rsid w:val="0027456D"/>
    <w:rsid w:val="002755A2"/>
    <w:rsid w:val="00276D19"/>
    <w:rsid w:val="00280BFF"/>
    <w:rsid w:val="00286A7E"/>
    <w:rsid w:val="00286AFC"/>
    <w:rsid w:val="00287BFC"/>
    <w:rsid w:val="0029083D"/>
    <w:rsid w:val="00291553"/>
    <w:rsid w:val="002A4117"/>
    <w:rsid w:val="002B6D36"/>
    <w:rsid w:val="002C2FF6"/>
    <w:rsid w:val="002C63A5"/>
    <w:rsid w:val="002C6B75"/>
    <w:rsid w:val="002D479E"/>
    <w:rsid w:val="002D4A7F"/>
    <w:rsid w:val="002E0299"/>
    <w:rsid w:val="002E7CFD"/>
    <w:rsid w:val="002F1A16"/>
    <w:rsid w:val="002F3F1D"/>
    <w:rsid w:val="002F7FFE"/>
    <w:rsid w:val="0030528F"/>
    <w:rsid w:val="00305F74"/>
    <w:rsid w:val="00307AA2"/>
    <w:rsid w:val="00314CD0"/>
    <w:rsid w:val="00326EC0"/>
    <w:rsid w:val="00331A73"/>
    <w:rsid w:val="0033371B"/>
    <w:rsid w:val="00341771"/>
    <w:rsid w:val="00355A53"/>
    <w:rsid w:val="00356AA3"/>
    <w:rsid w:val="00367083"/>
    <w:rsid w:val="0037314D"/>
    <w:rsid w:val="0037663B"/>
    <w:rsid w:val="003843C7"/>
    <w:rsid w:val="00387BEA"/>
    <w:rsid w:val="00394F8D"/>
    <w:rsid w:val="003A10D0"/>
    <w:rsid w:val="003A2F68"/>
    <w:rsid w:val="003A781F"/>
    <w:rsid w:val="003B707B"/>
    <w:rsid w:val="003C0B7F"/>
    <w:rsid w:val="003D012B"/>
    <w:rsid w:val="003D2CDF"/>
    <w:rsid w:val="003E2D93"/>
    <w:rsid w:val="003E385E"/>
    <w:rsid w:val="003E6222"/>
    <w:rsid w:val="003E7CDA"/>
    <w:rsid w:val="0041513B"/>
    <w:rsid w:val="00420C6B"/>
    <w:rsid w:val="00426BE7"/>
    <w:rsid w:val="004307A0"/>
    <w:rsid w:val="00436375"/>
    <w:rsid w:val="0043708E"/>
    <w:rsid w:val="00450975"/>
    <w:rsid w:val="004526DF"/>
    <w:rsid w:val="0046097F"/>
    <w:rsid w:val="004665FB"/>
    <w:rsid w:val="00476451"/>
    <w:rsid w:val="004776E3"/>
    <w:rsid w:val="00486696"/>
    <w:rsid w:val="00493C06"/>
    <w:rsid w:val="0049731E"/>
    <w:rsid w:val="004A130A"/>
    <w:rsid w:val="004A18FC"/>
    <w:rsid w:val="004A78D0"/>
    <w:rsid w:val="004B2776"/>
    <w:rsid w:val="004B391D"/>
    <w:rsid w:val="004B4421"/>
    <w:rsid w:val="004B6507"/>
    <w:rsid w:val="004C37A2"/>
    <w:rsid w:val="004D4F39"/>
    <w:rsid w:val="004F18BD"/>
    <w:rsid w:val="004F7E1E"/>
    <w:rsid w:val="00506E11"/>
    <w:rsid w:val="00510D9E"/>
    <w:rsid w:val="00512A7D"/>
    <w:rsid w:val="00515DF0"/>
    <w:rsid w:val="00523DB6"/>
    <w:rsid w:val="00524C2B"/>
    <w:rsid w:val="00526257"/>
    <w:rsid w:val="00536C5C"/>
    <w:rsid w:val="005409B8"/>
    <w:rsid w:val="005472BC"/>
    <w:rsid w:val="0055338F"/>
    <w:rsid w:val="00553AE2"/>
    <w:rsid w:val="00564103"/>
    <w:rsid w:val="005671D2"/>
    <w:rsid w:val="0058191E"/>
    <w:rsid w:val="00584C03"/>
    <w:rsid w:val="005854EB"/>
    <w:rsid w:val="00594C60"/>
    <w:rsid w:val="005A0B3C"/>
    <w:rsid w:val="005A4E3B"/>
    <w:rsid w:val="005B1DC7"/>
    <w:rsid w:val="005B29A7"/>
    <w:rsid w:val="005B757E"/>
    <w:rsid w:val="005C609D"/>
    <w:rsid w:val="005D1A86"/>
    <w:rsid w:val="005D5958"/>
    <w:rsid w:val="005E184C"/>
    <w:rsid w:val="005F0CFB"/>
    <w:rsid w:val="00603AC1"/>
    <w:rsid w:val="00613290"/>
    <w:rsid w:val="00641009"/>
    <w:rsid w:val="00642B92"/>
    <w:rsid w:val="006477E4"/>
    <w:rsid w:val="00647A39"/>
    <w:rsid w:val="006529A1"/>
    <w:rsid w:val="006546DA"/>
    <w:rsid w:val="00664C8D"/>
    <w:rsid w:val="00666D4B"/>
    <w:rsid w:val="0068303E"/>
    <w:rsid w:val="00685E28"/>
    <w:rsid w:val="006908EB"/>
    <w:rsid w:val="006A04C0"/>
    <w:rsid w:val="006A3AFC"/>
    <w:rsid w:val="006C0056"/>
    <w:rsid w:val="006C0F3F"/>
    <w:rsid w:val="006D1B52"/>
    <w:rsid w:val="006D30A6"/>
    <w:rsid w:val="006D6279"/>
    <w:rsid w:val="006E71CA"/>
    <w:rsid w:val="006F1877"/>
    <w:rsid w:val="006F235E"/>
    <w:rsid w:val="006F7188"/>
    <w:rsid w:val="00700EB9"/>
    <w:rsid w:val="00702256"/>
    <w:rsid w:val="007052FC"/>
    <w:rsid w:val="0070725E"/>
    <w:rsid w:val="0071172D"/>
    <w:rsid w:val="00716955"/>
    <w:rsid w:val="00717A19"/>
    <w:rsid w:val="007208AB"/>
    <w:rsid w:val="0072535D"/>
    <w:rsid w:val="00725491"/>
    <w:rsid w:val="007259EB"/>
    <w:rsid w:val="00730FA2"/>
    <w:rsid w:val="00744A01"/>
    <w:rsid w:val="00761C28"/>
    <w:rsid w:val="00763C4B"/>
    <w:rsid w:val="007651FA"/>
    <w:rsid w:val="00766CF4"/>
    <w:rsid w:val="00772AD3"/>
    <w:rsid w:val="007762A5"/>
    <w:rsid w:val="00780945"/>
    <w:rsid w:val="00792FC6"/>
    <w:rsid w:val="007952CA"/>
    <w:rsid w:val="007A390F"/>
    <w:rsid w:val="007A472D"/>
    <w:rsid w:val="007A7E88"/>
    <w:rsid w:val="007B3BF7"/>
    <w:rsid w:val="007B6884"/>
    <w:rsid w:val="007C0C25"/>
    <w:rsid w:val="007C480B"/>
    <w:rsid w:val="007C525E"/>
    <w:rsid w:val="007C6B53"/>
    <w:rsid w:val="007E3474"/>
    <w:rsid w:val="007E3507"/>
    <w:rsid w:val="007E6EFD"/>
    <w:rsid w:val="007F4F2E"/>
    <w:rsid w:val="008045D1"/>
    <w:rsid w:val="00804EFD"/>
    <w:rsid w:val="00806DCC"/>
    <w:rsid w:val="00807835"/>
    <w:rsid w:val="00820D81"/>
    <w:rsid w:val="00822AD6"/>
    <w:rsid w:val="00823F41"/>
    <w:rsid w:val="00825628"/>
    <w:rsid w:val="008423D8"/>
    <w:rsid w:val="0084734E"/>
    <w:rsid w:val="00847ECF"/>
    <w:rsid w:val="0085047B"/>
    <w:rsid w:val="00854C3A"/>
    <w:rsid w:val="00855B98"/>
    <w:rsid w:val="00860819"/>
    <w:rsid w:val="0086450F"/>
    <w:rsid w:val="008657D3"/>
    <w:rsid w:val="0086659C"/>
    <w:rsid w:val="0087163E"/>
    <w:rsid w:val="00872E81"/>
    <w:rsid w:val="008857C6"/>
    <w:rsid w:val="008867E0"/>
    <w:rsid w:val="00891314"/>
    <w:rsid w:val="00893705"/>
    <w:rsid w:val="008937B6"/>
    <w:rsid w:val="00893CDC"/>
    <w:rsid w:val="008B1FE4"/>
    <w:rsid w:val="008B4F90"/>
    <w:rsid w:val="008B7D47"/>
    <w:rsid w:val="008C3A65"/>
    <w:rsid w:val="008C76F8"/>
    <w:rsid w:val="008F2136"/>
    <w:rsid w:val="008F5FC5"/>
    <w:rsid w:val="009001EF"/>
    <w:rsid w:val="00910410"/>
    <w:rsid w:val="00913497"/>
    <w:rsid w:val="00920C06"/>
    <w:rsid w:val="00923C63"/>
    <w:rsid w:val="00924E88"/>
    <w:rsid w:val="009302B4"/>
    <w:rsid w:val="0093240A"/>
    <w:rsid w:val="009406C2"/>
    <w:rsid w:val="0094247B"/>
    <w:rsid w:val="00945B26"/>
    <w:rsid w:val="00954F0F"/>
    <w:rsid w:val="009559D0"/>
    <w:rsid w:val="00957D5C"/>
    <w:rsid w:val="00960C8A"/>
    <w:rsid w:val="00961DE3"/>
    <w:rsid w:val="009621FB"/>
    <w:rsid w:val="00962C45"/>
    <w:rsid w:val="009630B5"/>
    <w:rsid w:val="0098345C"/>
    <w:rsid w:val="0099162E"/>
    <w:rsid w:val="00993331"/>
    <w:rsid w:val="00996F4C"/>
    <w:rsid w:val="009A08AB"/>
    <w:rsid w:val="009A3887"/>
    <w:rsid w:val="009A5D73"/>
    <w:rsid w:val="009A7DF0"/>
    <w:rsid w:val="009B351D"/>
    <w:rsid w:val="009D08EF"/>
    <w:rsid w:val="009D17EB"/>
    <w:rsid w:val="009D19EC"/>
    <w:rsid w:val="009D537C"/>
    <w:rsid w:val="009D74D2"/>
    <w:rsid w:val="009E06A3"/>
    <w:rsid w:val="009E240C"/>
    <w:rsid w:val="009E346D"/>
    <w:rsid w:val="009E6D23"/>
    <w:rsid w:val="009F4B79"/>
    <w:rsid w:val="00A01054"/>
    <w:rsid w:val="00A0215B"/>
    <w:rsid w:val="00A05062"/>
    <w:rsid w:val="00A05985"/>
    <w:rsid w:val="00A060AB"/>
    <w:rsid w:val="00A1003C"/>
    <w:rsid w:val="00A1225D"/>
    <w:rsid w:val="00A125AD"/>
    <w:rsid w:val="00A1464F"/>
    <w:rsid w:val="00A31B33"/>
    <w:rsid w:val="00A44136"/>
    <w:rsid w:val="00A6060D"/>
    <w:rsid w:val="00A67B5E"/>
    <w:rsid w:val="00A85F60"/>
    <w:rsid w:val="00A90AE0"/>
    <w:rsid w:val="00A92C55"/>
    <w:rsid w:val="00AA2930"/>
    <w:rsid w:val="00AB0D0B"/>
    <w:rsid w:val="00AB5B53"/>
    <w:rsid w:val="00AC0AA2"/>
    <w:rsid w:val="00AC3C12"/>
    <w:rsid w:val="00AC72C5"/>
    <w:rsid w:val="00AD4391"/>
    <w:rsid w:val="00AD7A12"/>
    <w:rsid w:val="00AD7C59"/>
    <w:rsid w:val="00AE30C7"/>
    <w:rsid w:val="00AE34BB"/>
    <w:rsid w:val="00AE5A64"/>
    <w:rsid w:val="00AE7196"/>
    <w:rsid w:val="00AF3218"/>
    <w:rsid w:val="00AF33F1"/>
    <w:rsid w:val="00AF49A8"/>
    <w:rsid w:val="00B013E8"/>
    <w:rsid w:val="00B07DD1"/>
    <w:rsid w:val="00B114B9"/>
    <w:rsid w:val="00B15B9D"/>
    <w:rsid w:val="00B245BB"/>
    <w:rsid w:val="00B52075"/>
    <w:rsid w:val="00B736A9"/>
    <w:rsid w:val="00B7600C"/>
    <w:rsid w:val="00B82486"/>
    <w:rsid w:val="00B84605"/>
    <w:rsid w:val="00B86217"/>
    <w:rsid w:val="00B86230"/>
    <w:rsid w:val="00B87501"/>
    <w:rsid w:val="00B9165A"/>
    <w:rsid w:val="00B91F33"/>
    <w:rsid w:val="00B95996"/>
    <w:rsid w:val="00BA0FC8"/>
    <w:rsid w:val="00BA5502"/>
    <w:rsid w:val="00BB5B6D"/>
    <w:rsid w:val="00BC1A55"/>
    <w:rsid w:val="00BC4CAA"/>
    <w:rsid w:val="00BD4DB3"/>
    <w:rsid w:val="00BD530F"/>
    <w:rsid w:val="00BD6AF8"/>
    <w:rsid w:val="00BE0996"/>
    <w:rsid w:val="00BE23DD"/>
    <w:rsid w:val="00BE79FA"/>
    <w:rsid w:val="00BE7D16"/>
    <w:rsid w:val="00BF05F1"/>
    <w:rsid w:val="00BF0EBC"/>
    <w:rsid w:val="00BF682B"/>
    <w:rsid w:val="00C01721"/>
    <w:rsid w:val="00C023B5"/>
    <w:rsid w:val="00C0340F"/>
    <w:rsid w:val="00C06FC3"/>
    <w:rsid w:val="00C11EF0"/>
    <w:rsid w:val="00C12EE1"/>
    <w:rsid w:val="00C14963"/>
    <w:rsid w:val="00C1640F"/>
    <w:rsid w:val="00C23EC0"/>
    <w:rsid w:val="00C2432B"/>
    <w:rsid w:val="00C260C4"/>
    <w:rsid w:val="00C2629D"/>
    <w:rsid w:val="00C30DF5"/>
    <w:rsid w:val="00C349D4"/>
    <w:rsid w:val="00C35DEA"/>
    <w:rsid w:val="00C4125C"/>
    <w:rsid w:val="00C46DA3"/>
    <w:rsid w:val="00C503A8"/>
    <w:rsid w:val="00C50ADF"/>
    <w:rsid w:val="00C54051"/>
    <w:rsid w:val="00C553CA"/>
    <w:rsid w:val="00C57688"/>
    <w:rsid w:val="00C61009"/>
    <w:rsid w:val="00C62256"/>
    <w:rsid w:val="00C64484"/>
    <w:rsid w:val="00C70878"/>
    <w:rsid w:val="00C80E3C"/>
    <w:rsid w:val="00C82215"/>
    <w:rsid w:val="00C82814"/>
    <w:rsid w:val="00C83124"/>
    <w:rsid w:val="00C84148"/>
    <w:rsid w:val="00C94F12"/>
    <w:rsid w:val="00C96757"/>
    <w:rsid w:val="00CA1FFD"/>
    <w:rsid w:val="00CA3B51"/>
    <w:rsid w:val="00CB2A6E"/>
    <w:rsid w:val="00CB2D02"/>
    <w:rsid w:val="00CC41D4"/>
    <w:rsid w:val="00CD1F96"/>
    <w:rsid w:val="00CD38AF"/>
    <w:rsid w:val="00CD614D"/>
    <w:rsid w:val="00CE0800"/>
    <w:rsid w:val="00CF2F89"/>
    <w:rsid w:val="00CF3D65"/>
    <w:rsid w:val="00D06ADD"/>
    <w:rsid w:val="00D149F7"/>
    <w:rsid w:val="00D22496"/>
    <w:rsid w:val="00D22E51"/>
    <w:rsid w:val="00D36A17"/>
    <w:rsid w:val="00D42EC6"/>
    <w:rsid w:val="00D4502B"/>
    <w:rsid w:val="00D51222"/>
    <w:rsid w:val="00D51A8E"/>
    <w:rsid w:val="00D56BFB"/>
    <w:rsid w:val="00D57C7B"/>
    <w:rsid w:val="00D6183E"/>
    <w:rsid w:val="00D62A36"/>
    <w:rsid w:val="00D837A6"/>
    <w:rsid w:val="00D84BE7"/>
    <w:rsid w:val="00DA0409"/>
    <w:rsid w:val="00DA3BD0"/>
    <w:rsid w:val="00DB7367"/>
    <w:rsid w:val="00DB766B"/>
    <w:rsid w:val="00DC4F82"/>
    <w:rsid w:val="00DD4B2B"/>
    <w:rsid w:val="00DD5CD7"/>
    <w:rsid w:val="00DD74D8"/>
    <w:rsid w:val="00DE3816"/>
    <w:rsid w:val="00DE6499"/>
    <w:rsid w:val="00DF0E13"/>
    <w:rsid w:val="00E02EC4"/>
    <w:rsid w:val="00E04E69"/>
    <w:rsid w:val="00E13C47"/>
    <w:rsid w:val="00E147DD"/>
    <w:rsid w:val="00E33316"/>
    <w:rsid w:val="00E3658B"/>
    <w:rsid w:val="00E45418"/>
    <w:rsid w:val="00E458D1"/>
    <w:rsid w:val="00E46656"/>
    <w:rsid w:val="00E52D06"/>
    <w:rsid w:val="00E5391C"/>
    <w:rsid w:val="00E546A2"/>
    <w:rsid w:val="00E62E42"/>
    <w:rsid w:val="00E6455D"/>
    <w:rsid w:val="00E70A8D"/>
    <w:rsid w:val="00E74DFB"/>
    <w:rsid w:val="00E77E75"/>
    <w:rsid w:val="00E8092C"/>
    <w:rsid w:val="00E82021"/>
    <w:rsid w:val="00E849D0"/>
    <w:rsid w:val="00E956D4"/>
    <w:rsid w:val="00E979D3"/>
    <w:rsid w:val="00EA2711"/>
    <w:rsid w:val="00EA2926"/>
    <w:rsid w:val="00EA5442"/>
    <w:rsid w:val="00EB3320"/>
    <w:rsid w:val="00EC56C2"/>
    <w:rsid w:val="00EC7953"/>
    <w:rsid w:val="00EC7FB9"/>
    <w:rsid w:val="00ED3320"/>
    <w:rsid w:val="00ED5B6D"/>
    <w:rsid w:val="00ED5B76"/>
    <w:rsid w:val="00EE100B"/>
    <w:rsid w:val="00EE20E4"/>
    <w:rsid w:val="00EE48B8"/>
    <w:rsid w:val="00EF2654"/>
    <w:rsid w:val="00EF4AFF"/>
    <w:rsid w:val="00EF52FF"/>
    <w:rsid w:val="00EF6647"/>
    <w:rsid w:val="00F07A0A"/>
    <w:rsid w:val="00F11B58"/>
    <w:rsid w:val="00F142EA"/>
    <w:rsid w:val="00F21E6D"/>
    <w:rsid w:val="00F22D2F"/>
    <w:rsid w:val="00F25B63"/>
    <w:rsid w:val="00F274C5"/>
    <w:rsid w:val="00F320C0"/>
    <w:rsid w:val="00F4012E"/>
    <w:rsid w:val="00F41605"/>
    <w:rsid w:val="00F44C0D"/>
    <w:rsid w:val="00F46FAF"/>
    <w:rsid w:val="00F51682"/>
    <w:rsid w:val="00F53A33"/>
    <w:rsid w:val="00F56488"/>
    <w:rsid w:val="00F60430"/>
    <w:rsid w:val="00F6110E"/>
    <w:rsid w:val="00F744C6"/>
    <w:rsid w:val="00F834BF"/>
    <w:rsid w:val="00F87FAF"/>
    <w:rsid w:val="00F9077D"/>
    <w:rsid w:val="00F920F2"/>
    <w:rsid w:val="00F93E74"/>
    <w:rsid w:val="00F94DE6"/>
    <w:rsid w:val="00FA40E5"/>
    <w:rsid w:val="00FB0457"/>
    <w:rsid w:val="00FB477D"/>
    <w:rsid w:val="00FB79AE"/>
    <w:rsid w:val="00FC53FC"/>
    <w:rsid w:val="00FD552A"/>
    <w:rsid w:val="00FE3662"/>
    <w:rsid w:val="00FE5285"/>
    <w:rsid w:val="00FF3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39941D"/>
  <w15:docId w15:val="{A90C2829-4E25-41CD-9AEE-5918AEB9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486"/>
    <w:pPr>
      <w:ind w:left="720"/>
      <w:contextualSpacing/>
    </w:pPr>
  </w:style>
  <w:style w:type="character" w:styleId="CommentReference">
    <w:name w:val="annotation reference"/>
    <w:basedOn w:val="DefaultParagraphFont"/>
    <w:uiPriority w:val="99"/>
    <w:semiHidden/>
    <w:unhideWhenUsed/>
    <w:rsid w:val="00BD6AF8"/>
    <w:rPr>
      <w:sz w:val="16"/>
      <w:szCs w:val="16"/>
    </w:rPr>
  </w:style>
  <w:style w:type="paragraph" w:styleId="CommentText">
    <w:name w:val="annotation text"/>
    <w:basedOn w:val="Normal"/>
    <w:link w:val="CommentTextChar"/>
    <w:uiPriority w:val="99"/>
    <w:unhideWhenUsed/>
    <w:rsid w:val="00BD6AF8"/>
    <w:pPr>
      <w:spacing w:line="240" w:lineRule="auto"/>
    </w:pPr>
    <w:rPr>
      <w:sz w:val="20"/>
      <w:szCs w:val="20"/>
    </w:rPr>
  </w:style>
  <w:style w:type="character" w:customStyle="1" w:styleId="CommentTextChar">
    <w:name w:val="Comment Text Char"/>
    <w:basedOn w:val="DefaultParagraphFont"/>
    <w:link w:val="CommentText"/>
    <w:uiPriority w:val="99"/>
    <w:rsid w:val="00BD6AF8"/>
    <w:rPr>
      <w:sz w:val="20"/>
      <w:szCs w:val="20"/>
    </w:rPr>
  </w:style>
  <w:style w:type="paragraph" w:styleId="CommentSubject">
    <w:name w:val="annotation subject"/>
    <w:basedOn w:val="CommentText"/>
    <w:next w:val="CommentText"/>
    <w:link w:val="CommentSubjectChar"/>
    <w:uiPriority w:val="99"/>
    <w:semiHidden/>
    <w:unhideWhenUsed/>
    <w:rsid w:val="00BD6AF8"/>
    <w:rPr>
      <w:b/>
      <w:bCs/>
    </w:rPr>
  </w:style>
  <w:style w:type="character" w:customStyle="1" w:styleId="CommentSubjectChar">
    <w:name w:val="Comment Subject Char"/>
    <w:basedOn w:val="CommentTextChar"/>
    <w:link w:val="CommentSubject"/>
    <w:uiPriority w:val="99"/>
    <w:semiHidden/>
    <w:rsid w:val="00BD6AF8"/>
    <w:rPr>
      <w:b/>
      <w:bCs/>
      <w:sz w:val="20"/>
      <w:szCs w:val="20"/>
    </w:rPr>
  </w:style>
  <w:style w:type="paragraph" w:styleId="BalloonText">
    <w:name w:val="Balloon Text"/>
    <w:basedOn w:val="Normal"/>
    <w:link w:val="BalloonTextChar"/>
    <w:uiPriority w:val="99"/>
    <w:semiHidden/>
    <w:unhideWhenUsed/>
    <w:rsid w:val="00BD6A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AF8"/>
    <w:rPr>
      <w:rFonts w:ascii="Segoe UI" w:hAnsi="Segoe UI" w:cs="Segoe UI"/>
      <w:sz w:val="18"/>
      <w:szCs w:val="18"/>
    </w:rPr>
  </w:style>
  <w:style w:type="paragraph" w:styleId="Header">
    <w:name w:val="header"/>
    <w:basedOn w:val="Normal"/>
    <w:link w:val="HeaderChar"/>
    <w:uiPriority w:val="99"/>
    <w:unhideWhenUsed/>
    <w:rsid w:val="001800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067"/>
  </w:style>
  <w:style w:type="paragraph" w:styleId="Footer">
    <w:name w:val="footer"/>
    <w:basedOn w:val="Normal"/>
    <w:link w:val="FooterChar"/>
    <w:uiPriority w:val="99"/>
    <w:unhideWhenUsed/>
    <w:rsid w:val="001800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067"/>
  </w:style>
  <w:style w:type="paragraph" w:styleId="FootnoteText">
    <w:name w:val="footnote text"/>
    <w:basedOn w:val="Normal"/>
    <w:link w:val="FootnoteTextChar"/>
    <w:uiPriority w:val="99"/>
    <w:unhideWhenUsed/>
    <w:rsid w:val="00096024"/>
    <w:pPr>
      <w:spacing w:after="0" w:line="240" w:lineRule="auto"/>
    </w:pPr>
    <w:rPr>
      <w:sz w:val="20"/>
      <w:szCs w:val="20"/>
    </w:rPr>
  </w:style>
  <w:style w:type="character" w:customStyle="1" w:styleId="FootnoteTextChar">
    <w:name w:val="Footnote Text Char"/>
    <w:basedOn w:val="DefaultParagraphFont"/>
    <w:link w:val="FootnoteText"/>
    <w:uiPriority w:val="99"/>
    <w:rsid w:val="00096024"/>
    <w:rPr>
      <w:sz w:val="20"/>
      <w:szCs w:val="20"/>
    </w:rPr>
  </w:style>
  <w:style w:type="character" w:styleId="FootnoteReference">
    <w:name w:val="footnote reference"/>
    <w:basedOn w:val="DefaultParagraphFont"/>
    <w:uiPriority w:val="99"/>
    <w:unhideWhenUsed/>
    <w:rsid w:val="00096024"/>
    <w:rPr>
      <w:vertAlign w:val="superscript"/>
    </w:rPr>
  </w:style>
  <w:style w:type="table" w:styleId="TableGrid">
    <w:name w:val="Table Grid"/>
    <w:basedOn w:val="TableNormal"/>
    <w:uiPriority w:val="59"/>
    <w:rsid w:val="00996F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Level11">
    <w:name w:val="Note Level 11"/>
    <w:basedOn w:val="Normal"/>
    <w:uiPriority w:val="99"/>
    <w:rsid w:val="00AF33F1"/>
    <w:pPr>
      <w:keepNext/>
      <w:numPr>
        <w:numId w:val="6"/>
      </w:numPr>
      <w:spacing w:after="0"/>
      <w:contextualSpacing/>
      <w:outlineLvl w:val="0"/>
    </w:pPr>
    <w:rPr>
      <w:rFonts w:ascii="Verdana" w:hAnsi="Verdana"/>
    </w:rPr>
  </w:style>
  <w:style w:type="paragraph" w:customStyle="1" w:styleId="NoteLevel21">
    <w:name w:val="Note Level 21"/>
    <w:basedOn w:val="Normal"/>
    <w:uiPriority w:val="99"/>
    <w:rsid w:val="00AF33F1"/>
    <w:pPr>
      <w:keepNext/>
      <w:numPr>
        <w:ilvl w:val="1"/>
        <w:numId w:val="6"/>
      </w:numPr>
      <w:spacing w:after="0"/>
      <w:contextualSpacing/>
      <w:outlineLvl w:val="1"/>
    </w:pPr>
    <w:rPr>
      <w:rFonts w:ascii="Verdana" w:hAnsi="Verdana"/>
    </w:rPr>
  </w:style>
  <w:style w:type="paragraph" w:customStyle="1" w:styleId="NoteLevel31">
    <w:name w:val="Note Level 31"/>
    <w:basedOn w:val="Normal"/>
    <w:uiPriority w:val="99"/>
    <w:rsid w:val="00AF33F1"/>
    <w:pPr>
      <w:keepNext/>
      <w:numPr>
        <w:ilvl w:val="2"/>
        <w:numId w:val="6"/>
      </w:numPr>
      <w:spacing w:after="0"/>
      <w:contextualSpacing/>
      <w:outlineLvl w:val="2"/>
    </w:pPr>
    <w:rPr>
      <w:rFonts w:ascii="Verdana" w:hAnsi="Verdana"/>
    </w:rPr>
  </w:style>
  <w:style w:type="paragraph" w:customStyle="1" w:styleId="NoteLevel41">
    <w:name w:val="Note Level 41"/>
    <w:basedOn w:val="Normal"/>
    <w:uiPriority w:val="99"/>
    <w:rsid w:val="00AF33F1"/>
    <w:pPr>
      <w:keepNext/>
      <w:numPr>
        <w:ilvl w:val="3"/>
        <w:numId w:val="6"/>
      </w:numPr>
      <w:spacing w:after="0"/>
      <w:contextualSpacing/>
      <w:outlineLvl w:val="3"/>
    </w:pPr>
    <w:rPr>
      <w:rFonts w:ascii="Verdana" w:hAnsi="Verdana"/>
    </w:rPr>
  </w:style>
  <w:style w:type="paragraph" w:customStyle="1" w:styleId="NoteLevel51">
    <w:name w:val="Note Level 51"/>
    <w:basedOn w:val="Normal"/>
    <w:uiPriority w:val="99"/>
    <w:rsid w:val="00AF33F1"/>
    <w:pPr>
      <w:keepNext/>
      <w:numPr>
        <w:ilvl w:val="4"/>
        <w:numId w:val="6"/>
      </w:numPr>
      <w:spacing w:after="0"/>
      <w:contextualSpacing/>
      <w:outlineLvl w:val="4"/>
    </w:pPr>
    <w:rPr>
      <w:rFonts w:ascii="Verdana" w:hAnsi="Verdana"/>
    </w:rPr>
  </w:style>
  <w:style w:type="paragraph" w:customStyle="1" w:styleId="NoteLevel61">
    <w:name w:val="Note Level 61"/>
    <w:basedOn w:val="Normal"/>
    <w:uiPriority w:val="99"/>
    <w:rsid w:val="00AF33F1"/>
    <w:pPr>
      <w:keepNext/>
      <w:numPr>
        <w:ilvl w:val="5"/>
        <w:numId w:val="6"/>
      </w:numPr>
      <w:spacing w:after="0"/>
      <w:contextualSpacing/>
      <w:outlineLvl w:val="5"/>
    </w:pPr>
    <w:rPr>
      <w:rFonts w:ascii="Verdana" w:hAnsi="Verdana"/>
    </w:rPr>
  </w:style>
  <w:style w:type="paragraph" w:customStyle="1" w:styleId="NoteLevel71">
    <w:name w:val="Note Level 71"/>
    <w:basedOn w:val="Normal"/>
    <w:uiPriority w:val="99"/>
    <w:rsid w:val="00AF33F1"/>
    <w:pPr>
      <w:keepNext/>
      <w:numPr>
        <w:ilvl w:val="6"/>
        <w:numId w:val="6"/>
      </w:numPr>
      <w:spacing w:after="0"/>
      <w:contextualSpacing/>
      <w:outlineLvl w:val="6"/>
    </w:pPr>
    <w:rPr>
      <w:rFonts w:ascii="Verdana" w:hAnsi="Verdana"/>
    </w:rPr>
  </w:style>
  <w:style w:type="paragraph" w:customStyle="1" w:styleId="NoteLevel81">
    <w:name w:val="Note Level 81"/>
    <w:basedOn w:val="Normal"/>
    <w:uiPriority w:val="99"/>
    <w:rsid w:val="00AF33F1"/>
    <w:pPr>
      <w:keepNext/>
      <w:numPr>
        <w:ilvl w:val="7"/>
        <w:numId w:val="6"/>
      </w:numPr>
      <w:spacing w:after="0"/>
      <w:contextualSpacing/>
      <w:outlineLvl w:val="7"/>
    </w:pPr>
    <w:rPr>
      <w:rFonts w:ascii="Verdana" w:hAnsi="Verdana"/>
    </w:rPr>
  </w:style>
  <w:style w:type="paragraph" w:customStyle="1" w:styleId="NoteLevel91">
    <w:name w:val="Note Level 91"/>
    <w:basedOn w:val="Normal"/>
    <w:uiPriority w:val="99"/>
    <w:rsid w:val="00AF33F1"/>
    <w:pPr>
      <w:keepNext/>
      <w:numPr>
        <w:ilvl w:val="8"/>
        <w:numId w:val="6"/>
      </w:numPr>
      <w:spacing w:after="0"/>
      <w:contextualSpacing/>
      <w:outlineLvl w:val="8"/>
    </w:pPr>
    <w:rPr>
      <w:rFonts w:ascii="Verdana" w:hAnsi="Verdana"/>
    </w:rPr>
  </w:style>
  <w:style w:type="table" w:customStyle="1" w:styleId="TableGrid1">
    <w:name w:val="Table Grid1"/>
    <w:basedOn w:val="TableNormal"/>
    <w:next w:val="TableGrid"/>
    <w:uiPriority w:val="59"/>
    <w:rsid w:val="00AF3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B5B6D"/>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5B7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383009">
      <w:bodyDiv w:val="1"/>
      <w:marLeft w:val="0"/>
      <w:marRight w:val="0"/>
      <w:marTop w:val="0"/>
      <w:marBottom w:val="0"/>
      <w:divBdr>
        <w:top w:val="none" w:sz="0" w:space="0" w:color="auto"/>
        <w:left w:val="none" w:sz="0" w:space="0" w:color="auto"/>
        <w:bottom w:val="none" w:sz="0" w:space="0" w:color="auto"/>
        <w:right w:val="none" w:sz="0" w:space="0" w:color="auto"/>
      </w:divBdr>
      <w:divsChild>
        <w:div w:id="1781290338">
          <w:marLeft w:val="547"/>
          <w:marRight w:val="0"/>
          <w:marTop w:val="0"/>
          <w:marBottom w:val="0"/>
          <w:divBdr>
            <w:top w:val="none" w:sz="0" w:space="0" w:color="auto"/>
            <w:left w:val="none" w:sz="0" w:space="0" w:color="auto"/>
            <w:bottom w:val="none" w:sz="0" w:space="0" w:color="auto"/>
            <w:right w:val="none" w:sz="0" w:space="0" w:color="auto"/>
          </w:divBdr>
        </w:div>
      </w:divsChild>
    </w:div>
    <w:div w:id="1129394547">
      <w:bodyDiv w:val="1"/>
      <w:marLeft w:val="0"/>
      <w:marRight w:val="0"/>
      <w:marTop w:val="0"/>
      <w:marBottom w:val="0"/>
      <w:divBdr>
        <w:top w:val="none" w:sz="0" w:space="0" w:color="auto"/>
        <w:left w:val="none" w:sz="0" w:space="0" w:color="auto"/>
        <w:bottom w:val="none" w:sz="0" w:space="0" w:color="auto"/>
        <w:right w:val="none" w:sz="0" w:space="0" w:color="auto"/>
      </w:divBdr>
      <w:divsChild>
        <w:div w:id="1930042999">
          <w:marLeft w:val="547"/>
          <w:marRight w:val="0"/>
          <w:marTop w:val="0"/>
          <w:marBottom w:val="0"/>
          <w:divBdr>
            <w:top w:val="none" w:sz="0" w:space="0" w:color="auto"/>
            <w:left w:val="none" w:sz="0" w:space="0" w:color="auto"/>
            <w:bottom w:val="none" w:sz="0" w:space="0" w:color="auto"/>
            <w:right w:val="none" w:sz="0" w:space="0" w:color="auto"/>
          </w:divBdr>
        </w:div>
      </w:divsChild>
    </w:div>
    <w:div w:id="1570455741">
      <w:bodyDiv w:val="1"/>
      <w:marLeft w:val="0"/>
      <w:marRight w:val="0"/>
      <w:marTop w:val="0"/>
      <w:marBottom w:val="0"/>
      <w:divBdr>
        <w:top w:val="none" w:sz="0" w:space="0" w:color="auto"/>
        <w:left w:val="none" w:sz="0" w:space="0" w:color="auto"/>
        <w:bottom w:val="none" w:sz="0" w:space="0" w:color="auto"/>
        <w:right w:val="none" w:sz="0" w:space="0" w:color="auto"/>
      </w:divBdr>
    </w:div>
    <w:div w:id="1759255020">
      <w:bodyDiv w:val="1"/>
      <w:marLeft w:val="0"/>
      <w:marRight w:val="0"/>
      <w:marTop w:val="0"/>
      <w:marBottom w:val="0"/>
      <w:divBdr>
        <w:top w:val="none" w:sz="0" w:space="0" w:color="auto"/>
        <w:left w:val="none" w:sz="0" w:space="0" w:color="auto"/>
        <w:bottom w:val="none" w:sz="0" w:space="0" w:color="auto"/>
        <w:right w:val="none" w:sz="0" w:space="0" w:color="auto"/>
      </w:divBdr>
    </w:div>
    <w:div w:id="1851796717">
      <w:bodyDiv w:val="1"/>
      <w:marLeft w:val="0"/>
      <w:marRight w:val="0"/>
      <w:marTop w:val="0"/>
      <w:marBottom w:val="0"/>
      <w:divBdr>
        <w:top w:val="none" w:sz="0" w:space="0" w:color="auto"/>
        <w:left w:val="none" w:sz="0" w:space="0" w:color="auto"/>
        <w:bottom w:val="none" w:sz="0" w:space="0" w:color="auto"/>
        <w:right w:val="none" w:sz="0" w:space="0" w:color="auto"/>
      </w:divBdr>
    </w:div>
    <w:div w:id="2014332990">
      <w:bodyDiv w:val="1"/>
      <w:marLeft w:val="0"/>
      <w:marRight w:val="0"/>
      <w:marTop w:val="0"/>
      <w:marBottom w:val="0"/>
      <w:divBdr>
        <w:top w:val="none" w:sz="0" w:space="0" w:color="auto"/>
        <w:left w:val="none" w:sz="0" w:space="0" w:color="auto"/>
        <w:bottom w:val="none" w:sz="0" w:space="0" w:color="auto"/>
        <w:right w:val="none" w:sz="0" w:space="0" w:color="auto"/>
      </w:divBdr>
    </w:div>
    <w:div w:id="20779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Data" Target="diagrams/data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chart" Target="charts/chart1.xml"/><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diagramQuickStyle" Target="diagrams/quickStyle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Layout" Target="diagrams/layout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mccnpnasfs01\users\tafreshiah\Mongolia\EEP\EEP-MCEEIF%20Summary%20of%20Findings%20Revised%20CE+JRS+AT%20Final%20Edits%2030Sep1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0" baseline="0">
                <a:solidFill>
                  <a:sysClr val="windowText" lastClr="000000"/>
                </a:solidFill>
                <a:latin typeface="+mn-lt"/>
                <a:ea typeface="+mn-ea"/>
                <a:cs typeface="+mn-cs"/>
              </a:defRPr>
            </a:pPr>
            <a:r>
              <a:rPr lang="es-ES"/>
              <a:t>Cumulative End of Compact Disbursements (USD)</a:t>
            </a:r>
          </a:p>
        </c:rich>
      </c:tx>
      <c:layout/>
      <c:overlay val="0"/>
      <c:spPr>
        <a:noFill/>
        <a:ln>
          <a:noFill/>
        </a:ln>
        <a:effectLst/>
      </c:spPr>
    </c:title>
    <c:autoTitleDeleted val="0"/>
    <c:plotArea>
      <c:layout>
        <c:manualLayout>
          <c:layoutTarget val="inner"/>
          <c:xMode val="edge"/>
          <c:yMode val="edge"/>
          <c:x val="8.6380538253613817E-2"/>
          <c:y val="0.25239484953577479"/>
          <c:w val="0.83121902299525996"/>
          <c:h val="0.47517176696403252"/>
        </c:manualLayout>
      </c:layout>
      <c:ofPieChart>
        <c:ofPieType val="pie"/>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explosion val="23"/>
            <c:spPr>
              <a:solidFill>
                <a:schemeClr val="accent3">
                  <a:lumMod val="60000"/>
                </a:schemeClr>
              </a:solidFill>
              <a:ln w="19050">
                <a:solidFill>
                  <a:schemeClr val="lt1"/>
                </a:solidFill>
              </a:ln>
              <a:effectLst/>
            </c:spPr>
          </c:dPt>
          <c:dPt>
            <c:idx val="9"/>
            <c:bubble3D val="0"/>
            <c:explosion val="26"/>
            <c:spPr>
              <a:solidFill>
                <a:schemeClr val="accent4">
                  <a:lumMod val="60000"/>
                </a:schemeClr>
              </a:solidFill>
              <a:ln w="19050">
                <a:solidFill>
                  <a:schemeClr val="lt1"/>
                </a:solidFill>
              </a:ln>
              <a:effectLst/>
            </c:spPr>
          </c:dPt>
          <c:dPt>
            <c:idx val="10"/>
            <c:bubble3D val="0"/>
            <c:explosion val="25"/>
            <c:spPr>
              <a:solidFill>
                <a:schemeClr val="accent5">
                  <a:lumMod val="60000"/>
                </a:schemeClr>
              </a:solidFill>
              <a:ln w="19050">
                <a:solidFill>
                  <a:schemeClr val="lt1"/>
                </a:solidFill>
              </a:ln>
              <a:effectLst/>
            </c:spPr>
          </c:dPt>
          <c:dPt>
            <c:idx val="11"/>
            <c:bubble3D val="0"/>
            <c:spPr>
              <a:solidFill>
                <a:schemeClr val="accent6">
                  <a:lumMod val="60000"/>
                </a:schemeClr>
              </a:solidFill>
              <a:ln w="19050">
                <a:solidFill>
                  <a:schemeClr val="lt1"/>
                </a:solidFill>
              </a:ln>
              <a:effectLst/>
            </c:spPr>
          </c:dPt>
          <c:dLbls>
            <c:dLbl>
              <c:idx val="0"/>
              <c:layout>
                <c:manualLayout>
                  <c:x val="4.6565774155994206E-3"/>
                  <c:y val="5.5487548969239749E-2"/>
                </c:manualLayout>
              </c:layout>
              <c:tx>
                <c:rich>
                  <a:bodyPr/>
                  <a:lstStyle/>
                  <a:p>
                    <a:r>
                      <a:rPr lang="en-US"/>
                      <a:t>*</a:t>
                    </a:r>
                    <a:fld id="{3FF15B04-AB85-4987-9E36-E1B892B2CCD6}" type="CATEGORYNAME">
                      <a:rPr lang="en-US"/>
                      <a:pPr/>
                      <a:t>[CATEGORY NAME]</a:t>
                    </a:fld>
                    <a:r>
                      <a:rPr lang="en-US" baseline="0"/>
                      <a:t>
</a:t>
                    </a:r>
                    <a:fld id="{5E6115CF-C8CB-476C-AA49-661E80972F9F}" type="VALUE">
                      <a:rPr lang="en-US" baseline="0"/>
                      <a:pPr/>
                      <a:t>[VALUE]</a:t>
                    </a:fld>
                    <a:endParaRPr lang="en-US" baseline="0"/>
                  </a:p>
                </c:rich>
              </c:tx>
              <c:dLblPos val="bestFit"/>
              <c:showLegendKey val="0"/>
              <c:showVal val="1"/>
              <c:showCatName val="1"/>
              <c:showSerName val="0"/>
              <c:showPercent val="0"/>
              <c:showBubbleSize val="0"/>
              <c:separator>
</c:separator>
              <c:extLst>
                <c:ext xmlns:c15="http://schemas.microsoft.com/office/drawing/2012/chart" uri="{CE6537A1-D6FC-4f65-9D91-7224C49458BB}">
                  <c15:layout/>
                  <c15:dlblFieldTable/>
                  <c15:showDataLabelsRange val="0"/>
                </c:ext>
              </c:extLst>
            </c:dLbl>
            <c:dLbl>
              <c:idx val="1"/>
              <c:layout>
                <c:manualLayout>
                  <c:x val="-4.0357004268529298E-2"/>
                  <c:y val="-6.5279469375576172E-3"/>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2"/>
              <c:layout>
                <c:manualLayout>
                  <c:x val="-1.3969732246798603E-2"/>
                  <c:y val="2.6111787750230469E-2"/>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3"/>
              <c:layout>
                <c:manualLayout>
                  <c:x val="-2.0178502134264645E-2"/>
                  <c:y val="3.2639734687788087E-2"/>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4"/>
              <c:layout>
                <c:manualLayout>
                  <c:x val="-6.180969169898539E-2"/>
                  <c:y val="-4.295446448695129E-4"/>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5"/>
              <c:layout>
                <c:manualLayout>
                  <c:x val="0"/>
                  <c:y val="-9.791920406336441E-3"/>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6"/>
              <c:layout>
                <c:manualLayout>
                  <c:x val="1.3969732246798603E-2"/>
                  <c:y val="1.9583840812672851E-2"/>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7"/>
              <c:layout>
                <c:manualLayout>
                  <c:x val="0.2182637991146629"/>
                  <c:y val="-0.22856399182789133"/>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8"/>
              <c:layout>
                <c:manualLayout>
                  <c:x val="2.0178502134264534E-2"/>
                  <c:y val="-6.8543442844354985E-2"/>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9"/>
              <c:layout>
                <c:manualLayout>
                  <c:x val="4.5013581684128834E-2"/>
                  <c:y val="0"/>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10"/>
              <c:layout>
                <c:manualLayout>
                  <c:x val="5.58789289871943E-2"/>
                  <c:y val="7.8335363250691403E-2"/>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11"/>
              <c:layout/>
              <c:tx>
                <c:rich>
                  <a:bodyPr/>
                  <a:lstStyle/>
                  <a:p>
                    <a:r>
                      <a:rPr lang="en-US"/>
                      <a:t>EEP</a:t>
                    </a:r>
                    <a:endParaRPr lang="en-US" baseline="0"/>
                  </a:p>
                  <a:p>
                    <a:r>
                      <a:rPr lang="en-US"/>
                      <a:t>$40,420,819</a:t>
                    </a:r>
                  </a:p>
                </c:rich>
              </c:tx>
              <c:dLblPos val="outEnd"/>
              <c:showLegendKey val="0"/>
              <c:showVal val="1"/>
              <c:showCatName val="1"/>
              <c:showSerName val="0"/>
              <c:showPercent val="0"/>
              <c:showBubbleSize val="0"/>
              <c:separator>
</c:separator>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outEnd"/>
            <c:showLegendKey val="0"/>
            <c:showVal val="1"/>
            <c:showCatName val="1"/>
            <c:showSerName val="0"/>
            <c:showPercent val="0"/>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Sheet3!$A$1:$A$11</c:f>
              <c:strCache>
                <c:ptCount val="11"/>
                <c:pt idx="0">
                  <c:v>Rail Project</c:v>
                </c:pt>
                <c:pt idx="1">
                  <c:v>North South Road Project</c:v>
                </c:pt>
                <c:pt idx="2">
                  <c:v>Health Project</c:v>
                </c:pt>
                <c:pt idx="3">
                  <c:v>Vocational Education Project</c:v>
                </c:pt>
                <c:pt idx="4">
                  <c:v>Property Rights Project</c:v>
                </c:pt>
                <c:pt idx="5">
                  <c:v>M&amp;E</c:v>
                </c:pt>
                <c:pt idx="6">
                  <c:v>Administration</c:v>
                </c:pt>
                <c:pt idx="7">
                  <c:v>MCEEIF Activity</c:v>
                </c:pt>
                <c:pt idx="8">
                  <c:v>Wind Activity</c:v>
                </c:pt>
                <c:pt idx="9">
                  <c:v>Public Awareness</c:v>
                </c:pt>
                <c:pt idx="10">
                  <c:v>Administration</c:v>
                </c:pt>
              </c:strCache>
            </c:strRef>
          </c:cat>
          <c:val>
            <c:numRef>
              <c:f>Sheet3!$B$1:$B$11</c:f>
              <c:numCache>
                <c:formatCode>_("$"* #,##0_);_("$"* \(#,##0\);_("$"* "-"??_);_(@_)</c:formatCode>
                <c:ptCount val="11"/>
                <c:pt idx="0" formatCode="_(&quot;$&quot;* #,##0.00_);_(&quot;$&quot;* \(#,##0.00\);_(&quot;$&quot;* &quot;-&quot;??_);_(@_)">
                  <c:v>369560</c:v>
                </c:pt>
                <c:pt idx="1">
                  <c:v>74775867</c:v>
                </c:pt>
                <c:pt idx="2">
                  <c:v>41873776</c:v>
                </c:pt>
                <c:pt idx="3">
                  <c:v>49322727</c:v>
                </c:pt>
                <c:pt idx="4">
                  <c:v>28543830</c:v>
                </c:pt>
                <c:pt idx="5">
                  <c:v>5085246</c:v>
                </c:pt>
                <c:pt idx="6">
                  <c:v>28610317</c:v>
                </c:pt>
                <c:pt idx="7">
                  <c:v>33826342.380000003</c:v>
                </c:pt>
                <c:pt idx="8">
                  <c:v>2979486.13</c:v>
                </c:pt>
                <c:pt idx="9">
                  <c:v>1987337.29</c:v>
                </c:pt>
                <c:pt idx="10">
                  <c:v>1627653.24</c:v>
                </c:pt>
              </c:numCache>
            </c:numRef>
          </c:val>
        </c:ser>
        <c:dLbls>
          <c:showLegendKey val="0"/>
          <c:showVal val="0"/>
          <c:showCatName val="0"/>
          <c:showSerName val="0"/>
          <c:showPercent val="0"/>
          <c:showBubbleSize val="0"/>
          <c:showLeaderLines val="1"/>
        </c:dLbls>
        <c:gapWidth val="100"/>
        <c:secondPieSize val="75"/>
        <c:serLines>
          <c:spPr>
            <a:ln w="9525" cap="flat" cmpd="sng" algn="ctr">
              <a:solidFill>
                <a:schemeClr val="tx1">
                  <a:lumMod val="35000"/>
                  <a:lumOff val="65000"/>
                </a:schemeClr>
              </a:solidFill>
              <a:round/>
            </a:ln>
            <a:effectLst/>
          </c:spPr>
        </c:serLines>
      </c:ofPieChart>
      <c:spPr>
        <a:noFill/>
        <a:ln>
          <a:noFill/>
        </a:ln>
        <a:effectLst/>
      </c:spPr>
    </c:plotArea>
    <c:legend>
      <c:legendPos val="b"/>
      <c:layout>
        <c:manualLayout>
          <c:xMode val="edge"/>
          <c:yMode val="edge"/>
          <c:x val="0.14185560332315852"/>
          <c:y val="0.85597601416410296"/>
          <c:w val="0.71628867113380323"/>
          <c:h val="0.12444014502322431"/>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AC5F298-6C89-4202-9C37-4BBCA9B9BDDF}" type="doc">
      <dgm:prSet loTypeId="urn:microsoft.com/office/officeart/2005/8/layout/hProcess9" loCatId="process" qsTypeId="urn:microsoft.com/office/officeart/2005/8/quickstyle/simple1" qsCatId="simple" csTypeId="urn:microsoft.com/office/officeart/2005/8/colors/accent1_2" csCatId="accent1" phldr="1"/>
      <dgm:spPr/>
    </dgm:pt>
    <dgm:pt modelId="{B29141FF-95C4-42FA-A795-93CC1ED26C1D}">
      <dgm:prSet phldrT="[Text]"/>
      <dgm:spPr/>
      <dgm:t>
        <a:bodyPr/>
        <a:lstStyle/>
        <a:p>
          <a:r>
            <a:rPr lang="en-US"/>
            <a:t>MCC-funded subsidies and public awareness for energy efficient stoves</a:t>
          </a:r>
        </a:p>
      </dgm:t>
    </dgm:pt>
    <dgm:pt modelId="{77FCF52D-C996-4380-AFB2-2CD95B97AC23}" type="parTrans" cxnId="{8343BE70-8FD5-4EFD-842A-88D7849F421E}">
      <dgm:prSet/>
      <dgm:spPr/>
      <dgm:t>
        <a:bodyPr/>
        <a:lstStyle/>
        <a:p>
          <a:endParaRPr lang="en-US"/>
        </a:p>
      </dgm:t>
    </dgm:pt>
    <dgm:pt modelId="{BA8890D8-F15D-4317-A033-50439B11B8E2}" type="sibTrans" cxnId="{8343BE70-8FD5-4EFD-842A-88D7849F421E}">
      <dgm:prSet/>
      <dgm:spPr/>
      <dgm:t>
        <a:bodyPr/>
        <a:lstStyle/>
        <a:p>
          <a:endParaRPr lang="en-US"/>
        </a:p>
      </dgm:t>
    </dgm:pt>
    <dgm:pt modelId="{2FAEDD98-F73B-452B-8F67-5923C702B05E}">
      <dgm:prSet/>
      <dgm:spPr/>
      <dgm:t>
        <a:bodyPr/>
        <a:lstStyle/>
        <a:p>
          <a:r>
            <a:rPr lang="en-US"/>
            <a:t>Decreased  PM</a:t>
          </a:r>
          <a:r>
            <a:rPr lang="en-US" baseline="-25000"/>
            <a:t>2.5 </a:t>
          </a:r>
          <a:r>
            <a:rPr lang="en-US"/>
            <a:t>emissions resulting from  energy efficient stoves</a:t>
          </a:r>
        </a:p>
      </dgm:t>
    </dgm:pt>
    <dgm:pt modelId="{6F4DE37B-64AB-461A-8B50-06207E210376}" type="parTrans" cxnId="{89CB1815-95DD-4FA4-B00C-42A1B94581E1}">
      <dgm:prSet/>
      <dgm:spPr/>
      <dgm:t>
        <a:bodyPr/>
        <a:lstStyle/>
        <a:p>
          <a:endParaRPr lang="en-US"/>
        </a:p>
      </dgm:t>
    </dgm:pt>
    <dgm:pt modelId="{B5244687-F28B-4DCB-A0BB-AD6C1479598A}" type="sibTrans" cxnId="{89CB1815-95DD-4FA4-B00C-42A1B94581E1}">
      <dgm:prSet/>
      <dgm:spPr/>
      <dgm:t>
        <a:bodyPr/>
        <a:lstStyle/>
        <a:p>
          <a:endParaRPr lang="en-US"/>
        </a:p>
      </dgm:t>
    </dgm:pt>
    <dgm:pt modelId="{6B1094F2-DED0-4563-9EBE-CF5E213F25D6}">
      <dgm:prSet/>
      <dgm:spPr/>
      <dgm:t>
        <a:bodyPr/>
        <a:lstStyle/>
        <a:p>
          <a:r>
            <a:rPr lang="en-US"/>
            <a:t>Increased sales and use of energy efficient stoves</a:t>
          </a:r>
        </a:p>
      </dgm:t>
    </dgm:pt>
    <dgm:pt modelId="{21065FD4-DCE1-48FB-B303-B38296DA6F32}" type="parTrans" cxnId="{95ED01C3-421E-4216-8581-D4CD509A318E}">
      <dgm:prSet/>
      <dgm:spPr/>
      <dgm:t>
        <a:bodyPr/>
        <a:lstStyle/>
        <a:p>
          <a:endParaRPr lang="en-US"/>
        </a:p>
      </dgm:t>
    </dgm:pt>
    <dgm:pt modelId="{FBCE1782-D4C4-403A-81D8-2B2BD51FCC0B}" type="sibTrans" cxnId="{95ED01C3-421E-4216-8581-D4CD509A318E}">
      <dgm:prSet/>
      <dgm:spPr/>
      <dgm:t>
        <a:bodyPr/>
        <a:lstStyle/>
        <a:p>
          <a:endParaRPr lang="en-US"/>
        </a:p>
      </dgm:t>
    </dgm:pt>
    <dgm:pt modelId="{F3866B84-C733-4661-90FA-6C2677D8265D}">
      <dgm:prSet/>
      <dgm:spPr/>
      <dgm:t>
        <a:bodyPr/>
        <a:lstStyle/>
        <a:p>
          <a:r>
            <a:rPr lang="en-US"/>
            <a:t>Improved health and  increased productivity resulting from improved ambient air quality</a:t>
          </a:r>
        </a:p>
      </dgm:t>
    </dgm:pt>
    <dgm:pt modelId="{D2993E95-73C1-426C-84FB-4E91C5A19464}" type="parTrans" cxnId="{60499127-997A-431A-9829-1BCB67B7E8AA}">
      <dgm:prSet/>
      <dgm:spPr/>
      <dgm:t>
        <a:bodyPr/>
        <a:lstStyle/>
        <a:p>
          <a:endParaRPr lang="en-US"/>
        </a:p>
      </dgm:t>
    </dgm:pt>
    <dgm:pt modelId="{CA59B60A-CC40-4447-804B-3F5224015AA9}" type="sibTrans" cxnId="{60499127-997A-431A-9829-1BCB67B7E8AA}">
      <dgm:prSet/>
      <dgm:spPr/>
      <dgm:t>
        <a:bodyPr/>
        <a:lstStyle/>
        <a:p>
          <a:endParaRPr lang="en-US"/>
        </a:p>
      </dgm:t>
    </dgm:pt>
    <dgm:pt modelId="{D6F6FBE1-A161-4E80-A56E-076F904550C0}">
      <dgm:prSet/>
      <dgm:spPr/>
      <dgm:t>
        <a:bodyPr/>
        <a:lstStyle/>
        <a:p>
          <a:r>
            <a:rPr lang="en-US"/>
            <a:t>Increased income resulting from decreased fuel expenditures, reduced health costs and increased productivity</a:t>
          </a:r>
        </a:p>
      </dgm:t>
    </dgm:pt>
    <dgm:pt modelId="{396B5B78-A4FA-4C20-855D-8628322DA3EC}" type="parTrans" cxnId="{410A6C0A-51E6-46FF-AF2A-509F9C764CD5}">
      <dgm:prSet/>
      <dgm:spPr/>
      <dgm:t>
        <a:bodyPr/>
        <a:lstStyle/>
        <a:p>
          <a:endParaRPr lang="en-US"/>
        </a:p>
      </dgm:t>
    </dgm:pt>
    <dgm:pt modelId="{31E81E35-5EF6-4683-9813-CE69976995A7}" type="sibTrans" cxnId="{410A6C0A-51E6-46FF-AF2A-509F9C764CD5}">
      <dgm:prSet/>
      <dgm:spPr/>
      <dgm:t>
        <a:bodyPr/>
        <a:lstStyle/>
        <a:p>
          <a:endParaRPr lang="en-US"/>
        </a:p>
      </dgm:t>
    </dgm:pt>
    <dgm:pt modelId="{90DD139A-F02D-44FD-A4AF-D7C1891A2C57}" type="pres">
      <dgm:prSet presAssocID="{8AC5F298-6C89-4202-9C37-4BBCA9B9BDDF}" presName="CompostProcess" presStyleCnt="0">
        <dgm:presLayoutVars>
          <dgm:dir/>
          <dgm:resizeHandles val="exact"/>
        </dgm:presLayoutVars>
      </dgm:prSet>
      <dgm:spPr/>
    </dgm:pt>
    <dgm:pt modelId="{EF5A80BA-5250-4B96-B28D-DEB228FE496C}" type="pres">
      <dgm:prSet presAssocID="{8AC5F298-6C89-4202-9C37-4BBCA9B9BDDF}" presName="arrow" presStyleLbl="bgShp" presStyleIdx="0" presStyleCnt="1"/>
      <dgm:spPr/>
    </dgm:pt>
    <dgm:pt modelId="{91869CD4-09D5-43E8-B484-D7FEC383B3CF}" type="pres">
      <dgm:prSet presAssocID="{8AC5F298-6C89-4202-9C37-4BBCA9B9BDDF}" presName="linearProcess" presStyleCnt="0"/>
      <dgm:spPr/>
    </dgm:pt>
    <dgm:pt modelId="{C9CE9B1D-D0B5-4F99-8A7F-099AD240B259}" type="pres">
      <dgm:prSet presAssocID="{B29141FF-95C4-42FA-A795-93CC1ED26C1D}" presName="textNode" presStyleLbl="node1" presStyleIdx="0" presStyleCnt="5">
        <dgm:presLayoutVars>
          <dgm:bulletEnabled val="1"/>
        </dgm:presLayoutVars>
      </dgm:prSet>
      <dgm:spPr/>
      <dgm:t>
        <a:bodyPr/>
        <a:lstStyle/>
        <a:p>
          <a:endParaRPr lang="en-US"/>
        </a:p>
      </dgm:t>
    </dgm:pt>
    <dgm:pt modelId="{7F331E14-2B68-4E43-B2D9-9BC442D21214}" type="pres">
      <dgm:prSet presAssocID="{BA8890D8-F15D-4317-A033-50439B11B8E2}" presName="sibTrans" presStyleCnt="0"/>
      <dgm:spPr/>
    </dgm:pt>
    <dgm:pt modelId="{C85D1D2F-092E-47ED-9BB3-83A9698A9857}" type="pres">
      <dgm:prSet presAssocID="{2FAEDD98-F73B-452B-8F67-5923C702B05E}" presName="textNode" presStyleLbl="node1" presStyleIdx="1" presStyleCnt="5" custLinFactX="100000" custLinFactNeighborX="118151" custLinFactNeighborY="-830">
        <dgm:presLayoutVars>
          <dgm:bulletEnabled val="1"/>
        </dgm:presLayoutVars>
      </dgm:prSet>
      <dgm:spPr/>
      <dgm:t>
        <a:bodyPr/>
        <a:lstStyle/>
        <a:p>
          <a:endParaRPr lang="en-US"/>
        </a:p>
      </dgm:t>
    </dgm:pt>
    <dgm:pt modelId="{7843EE0A-54BA-4E15-8493-AAE1A53ABC7C}" type="pres">
      <dgm:prSet presAssocID="{B5244687-F28B-4DCB-A0BB-AD6C1479598A}" presName="sibTrans" presStyleCnt="0"/>
      <dgm:spPr/>
    </dgm:pt>
    <dgm:pt modelId="{7F865ED4-8D19-44E6-AB05-4BDF0CD01BCD}" type="pres">
      <dgm:prSet presAssocID="{6B1094F2-DED0-4563-9EBE-CF5E213F25D6}" presName="textNode" presStyleLbl="node1" presStyleIdx="2" presStyleCnt="5" custLinFactX="-99898" custLinFactNeighborX="-100000">
        <dgm:presLayoutVars>
          <dgm:bulletEnabled val="1"/>
        </dgm:presLayoutVars>
      </dgm:prSet>
      <dgm:spPr/>
      <dgm:t>
        <a:bodyPr/>
        <a:lstStyle/>
        <a:p>
          <a:endParaRPr lang="en-US"/>
        </a:p>
      </dgm:t>
    </dgm:pt>
    <dgm:pt modelId="{956479E5-DF61-465C-A4C4-69F970C28C5C}" type="pres">
      <dgm:prSet presAssocID="{FBCE1782-D4C4-403A-81D8-2B2BD51FCC0B}" presName="sibTrans" presStyleCnt="0"/>
      <dgm:spPr/>
    </dgm:pt>
    <dgm:pt modelId="{F04D905D-3FDF-4DA1-95B8-EF20D577428A}" type="pres">
      <dgm:prSet presAssocID="{F3866B84-C733-4661-90FA-6C2677D8265D}" presName="textNode" presStyleLbl="node1" presStyleIdx="3" presStyleCnt="5">
        <dgm:presLayoutVars>
          <dgm:bulletEnabled val="1"/>
        </dgm:presLayoutVars>
      </dgm:prSet>
      <dgm:spPr/>
      <dgm:t>
        <a:bodyPr/>
        <a:lstStyle/>
        <a:p>
          <a:endParaRPr lang="en-US"/>
        </a:p>
      </dgm:t>
    </dgm:pt>
    <dgm:pt modelId="{3642A503-B6DC-426F-9EA1-C38E59A4939D}" type="pres">
      <dgm:prSet presAssocID="{CA59B60A-CC40-4447-804B-3F5224015AA9}" presName="sibTrans" presStyleCnt="0"/>
      <dgm:spPr/>
    </dgm:pt>
    <dgm:pt modelId="{8EF606D7-69B1-42FD-A14C-09EFE09594A0}" type="pres">
      <dgm:prSet presAssocID="{D6F6FBE1-A161-4E80-A56E-076F904550C0}" presName="textNode" presStyleLbl="node1" presStyleIdx="4" presStyleCnt="5" custScaleY="98837">
        <dgm:presLayoutVars>
          <dgm:bulletEnabled val="1"/>
        </dgm:presLayoutVars>
      </dgm:prSet>
      <dgm:spPr/>
      <dgm:t>
        <a:bodyPr/>
        <a:lstStyle/>
        <a:p>
          <a:endParaRPr lang="en-US"/>
        </a:p>
      </dgm:t>
    </dgm:pt>
  </dgm:ptLst>
  <dgm:cxnLst>
    <dgm:cxn modelId="{410A6C0A-51E6-46FF-AF2A-509F9C764CD5}" srcId="{8AC5F298-6C89-4202-9C37-4BBCA9B9BDDF}" destId="{D6F6FBE1-A161-4E80-A56E-076F904550C0}" srcOrd="4" destOrd="0" parTransId="{396B5B78-A4FA-4C20-855D-8628322DA3EC}" sibTransId="{31E81E35-5EF6-4683-9813-CE69976995A7}"/>
    <dgm:cxn modelId="{60499127-997A-431A-9829-1BCB67B7E8AA}" srcId="{8AC5F298-6C89-4202-9C37-4BBCA9B9BDDF}" destId="{F3866B84-C733-4661-90FA-6C2677D8265D}" srcOrd="3" destOrd="0" parTransId="{D2993E95-73C1-426C-84FB-4E91C5A19464}" sibTransId="{CA59B60A-CC40-4447-804B-3F5224015AA9}"/>
    <dgm:cxn modelId="{7A7F588B-873C-43C3-A152-E0BF718611D0}" type="presOf" srcId="{6B1094F2-DED0-4563-9EBE-CF5E213F25D6}" destId="{7F865ED4-8D19-44E6-AB05-4BDF0CD01BCD}" srcOrd="0" destOrd="0" presId="urn:microsoft.com/office/officeart/2005/8/layout/hProcess9"/>
    <dgm:cxn modelId="{116D6326-4046-4E1E-9F05-41BFD5C9679C}" type="presOf" srcId="{B29141FF-95C4-42FA-A795-93CC1ED26C1D}" destId="{C9CE9B1D-D0B5-4F99-8A7F-099AD240B259}" srcOrd="0" destOrd="0" presId="urn:microsoft.com/office/officeart/2005/8/layout/hProcess9"/>
    <dgm:cxn modelId="{C5773B7B-F9CE-49DB-9509-A4AE47F734C7}" type="presOf" srcId="{D6F6FBE1-A161-4E80-A56E-076F904550C0}" destId="{8EF606D7-69B1-42FD-A14C-09EFE09594A0}" srcOrd="0" destOrd="0" presId="urn:microsoft.com/office/officeart/2005/8/layout/hProcess9"/>
    <dgm:cxn modelId="{79E34BBE-D7A9-4A01-A2C3-C2C7F0F46DA7}" type="presOf" srcId="{F3866B84-C733-4661-90FA-6C2677D8265D}" destId="{F04D905D-3FDF-4DA1-95B8-EF20D577428A}" srcOrd="0" destOrd="0" presId="urn:microsoft.com/office/officeart/2005/8/layout/hProcess9"/>
    <dgm:cxn modelId="{8343BE70-8FD5-4EFD-842A-88D7849F421E}" srcId="{8AC5F298-6C89-4202-9C37-4BBCA9B9BDDF}" destId="{B29141FF-95C4-42FA-A795-93CC1ED26C1D}" srcOrd="0" destOrd="0" parTransId="{77FCF52D-C996-4380-AFB2-2CD95B97AC23}" sibTransId="{BA8890D8-F15D-4317-A033-50439B11B8E2}"/>
    <dgm:cxn modelId="{89CB1815-95DD-4FA4-B00C-42A1B94581E1}" srcId="{8AC5F298-6C89-4202-9C37-4BBCA9B9BDDF}" destId="{2FAEDD98-F73B-452B-8F67-5923C702B05E}" srcOrd="1" destOrd="0" parTransId="{6F4DE37B-64AB-461A-8B50-06207E210376}" sibTransId="{B5244687-F28B-4DCB-A0BB-AD6C1479598A}"/>
    <dgm:cxn modelId="{6F12E8F0-8B3B-4D2C-9BC4-1141FEA8E56C}" type="presOf" srcId="{8AC5F298-6C89-4202-9C37-4BBCA9B9BDDF}" destId="{90DD139A-F02D-44FD-A4AF-D7C1891A2C57}" srcOrd="0" destOrd="0" presId="urn:microsoft.com/office/officeart/2005/8/layout/hProcess9"/>
    <dgm:cxn modelId="{95ED01C3-421E-4216-8581-D4CD509A318E}" srcId="{8AC5F298-6C89-4202-9C37-4BBCA9B9BDDF}" destId="{6B1094F2-DED0-4563-9EBE-CF5E213F25D6}" srcOrd="2" destOrd="0" parTransId="{21065FD4-DCE1-48FB-B303-B38296DA6F32}" sibTransId="{FBCE1782-D4C4-403A-81D8-2B2BD51FCC0B}"/>
    <dgm:cxn modelId="{690F8CF0-26D0-4965-A766-92E9479DB0FC}" type="presOf" srcId="{2FAEDD98-F73B-452B-8F67-5923C702B05E}" destId="{C85D1D2F-092E-47ED-9BB3-83A9698A9857}" srcOrd="0" destOrd="0" presId="urn:microsoft.com/office/officeart/2005/8/layout/hProcess9"/>
    <dgm:cxn modelId="{9ABF2D07-037C-4376-9D0F-847C03EC7421}" type="presParOf" srcId="{90DD139A-F02D-44FD-A4AF-D7C1891A2C57}" destId="{EF5A80BA-5250-4B96-B28D-DEB228FE496C}" srcOrd="0" destOrd="0" presId="urn:microsoft.com/office/officeart/2005/8/layout/hProcess9"/>
    <dgm:cxn modelId="{0CF1CF24-CEAC-49B8-B6F4-EC16B113D5FC}" type="presParOf" srcId="{90DD139A-F02D-44FD-A4AF-D7C1891A2C57}" destId="{91869CD4-09D5-43E8-B484-D7FEC383B3CF}" srcOrd="1" destOrd="0" presId="urn:microsoft.com/office/officeart/2005/8/layout/hProcess9"/>
    <dgm:cxn modelId="{45071D31-17AC-40FC-8006-3481A393EA6C}" type="presParOf" srcId="{91869CD4-09D5-43E8-B484-D7FEC383B3CF}" destId="{C9CE9B1D-D0B5-4F99-8A7F-099AD240B259}" srcOrd="0" destOrd="0" presId="urn:microsoft.com/office/officeart/2005/8/layout/hProcess9"/>
    <dgm:cxn modelId="{01903629-E300-4B26-9888-9C5A890053DD}" type="presParOf" srcId="{91869CD4-09D5-43E8-B484-D7FEC383B3CF}" destId="{7F331E14-2B68-4E43-B2D9-9BC442D21214}" srcOrd="1" destOrd="0" presId="urn:microsoft.com/office/officeart/2005/8/layout/hProcess9"/>
    <dgm:cxn modelId="{675AF561-A04C-4E3A-95B1-1290CC312F09}" type="presParOf" srcId="{91869CD4-09D5-43E8-B484-D7FEC383B3CF}" destId="{C85D1D2F-092E-47ED-9BB3-83A9698A9857}" srcOrd="2" destOrd="0" presId="urn:microsoft.com/office/officeart/2005/8/layout/hProcess9"/>
    <dgm:cxn modelId="{1F3BF14F-D8B7-47C8-AFA0-2E292C78C3F6}" type="presParOf" srcId="{91869CD4-09D5-43E8-B484-D7FEC383B3CF}" destId="{7843EE0A-54BA-4E15-8493-AAE1A53ABC7C}" srcOrd="3" destOrd="0" presId="urn:microsoft.com/office/officeart/2005/8/layout/hProcess9"/>
    <dgm:cxn modelId="{9EAE003C-20D7-4A93-A72D-F41EA6844D8B}" type="presParOf" srcId="{91869CD4-09D5-43E8-B484-D7FEC383B3CF}" destId="{7F865ED4-8D19-44E6-AB05-4BDF0CD01BCD}" srcOrd="4" destOrd="0" presId="urn:microsoft.com/office/officeart/2005/8/layout/hProcess9"/>
    <dgm:cxn modelId="{E5EC3DE5-5BB0-42BA-97B9-7EC082CF29EE}" type="presParOf" srcId="{91869CD4-09D5-43E8-B484-D7FEC383B3CF}" destId="{956479E5-DF61-465C-A4C4-69F970C28C5C}" srcOrd="5" destOrd="0" presId="urn:microsoft.com/office/officeart/2005/8/layout/hProcess9"/>
    <dgm:cxn modelId="{39F4B6C9-5655-4958-ADDD-EC807525FA27}" type="presParOf" srcId="{91869CD4-09D5-43E8-B484-D7FEC383B3CF}" destId="{F04D905D-3FDF-4DA1-95B8-EF20D577428A}" srcOrd="6" destOrd="0" presId="urn:microsoft.com/office/officeart/2005/8/layout/hProcess9"/>
    <dgm:cxn modelId="{0AE24EC5-8C3E-4025-A94C-C12FBB10333C}" type="presParOf" srcId="{91869CD4-09D5-43E8-B484-D7FEC383B3CF}" destId="{3642A503-B6DC-426F-9EA1-C38E59A4939D}" srcOrd="7" destOrd="0" presId="urn:microsoft.com/office/officeart/2005/8/layout/hProcess9"/>
    <dgm:cxn modelId="{4C45D4F6-E24B-4E97-952D-E38390B41756}" type="presParOf" srcId="{91869CD4-09D5-43E8-B484-D7FEC383B3CF}" destId="{8EF606D7-69B1-42FD-A14C-09EFE09594A0}" srcOrd="8" destOrd="0" presId="urn:microsoft.com/office/officeart/2005/8/layout/hProcess9"/>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5A80BA-5250-4B96-B28D-DEB228FE496C}">
      <dsp:nvSpPr>
        <dsp:cNvPr id="0" name=""/>
        <dsp:cNvSpPr/>
      </dsp:nvSpPr>
      <dsp:spPr>
        <a:xfrm>
          <a:off x="411479" y="0"/>
          <a:ext cx="4663440" cy="320040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9CE9B1D-D0B5-4F99-8A7F-099AD240B259}">
      <dsp:nvSpPr>
        <dsp:cNvPr id="0" name=""/>
        <dsp:cNvSpPr/>
      </dsp:nvSpPr>
      <dsp:spPr>
        <a:xfrm>
          <a:off x="2411" y="960120"/>
          <a:ext cx="1054149" cy="128016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MCC-funded subsidies and public awareness for energy efficient stoves</a:t>
          </a:r>
        </a:p>
      </dsp:txBody>
      <dsp:txXfrm>
        <a:off x="53870" y="1011579"/>
        <a:ext cx="951231" cy="1177242"/>
      </dsp:txXfrm>
    </dsp:sp>
    <dsp:sp modelId="{C85D1D2F-092E-47ED-9BB3-83A9698A9857}">
      <dsp:nvSpPr>
        <dsp:cNvPr id="0" name=""/>
        <dsp:cNvSpPr/>
      </dsp:nvSpPr>
      <dsp:spPr>
        <a:xfrm>
          <a:off x="2225692" y="949494"/>
          <a:ext cx="1054149" cy="128016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Decreased  PM</a:t>
          </a:r>
          <a:r>
            <a:rPr lang="en-US" sz="900" kern="1200" baseline="-25000"/>
            <a:t>2.5 </a:t>
          </a:r>
          <a:r>
            <a:rPr lang="en-US" sz="900" kern="1200"/>
            <a:t>emissions resulting from  energy efficient stoves</a:t>
          </a:r>
        </a:p>
      </dsp:txBody>
      <dsp:txXfrm>
        <a:off x="2277151" y="1000953"/>
        <a:ext cx="951231" cy="1177242"/>
      </dsp:txXfrm>
    </dsp:sp>
    <dsp:sp modelId="{7F865ED4-8D19-44E6-AB05-4BDF0CD01BCD}">
      <dsp:nvSpPr>
        <dsp:cNvPr id="0" name=""/>
        <dsp:cNvSpPr/>
      </dsp:nvSpPr>
      <dsp:spPr>
        <a:xfrm>
          <a:off x="1110343" y="960120"/>
          <a:ext cx="1054149" cy="128016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Increased sales and use of energy efficient stoves</a:t>
          </a:r>
        </a:p>
      </dsp:txBody>
      <dsp:txXfrm>
        <a:off x="1161802" y="1011579"/>
        <a:ext cx="951231" cy="1177242"/>
      </dsp:txXfrm>
    </dsp:sp>
    <dsp:sp modelId="{F04D905D-3FDF-4DA1-95B8-EF20D577428A}">
      <dsp:nvSpPr>
        <dsp:cNvPr id="0" name=""/>
        <dsp:cNvSpPr/>
      </dsp:nvSpPr>
      <dsp:spPr>
        <a:xfrm>
          <a:off x="3322982" y="960120"/>
          <a:ext cx="1054149" cy="128016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Improved health and  increased productivity resulting from improved ambient air quality</a:t>
          </a:r>
        </a:p>
      </dsp:txBody>
      <dsp:txXfrm>
        <a:off x="3374441" y="1011579"/>
        <a:ext cx="951231" cy="1177242"/>
      </dsp:txXfrm>
    </dsp:sp>
    <dsp:sp modelId="{8EF606D7-69B1-42FD-A14C-09EFE09594A0}">
      <dsp:nvSpPr>
        <dsp:cNvPr id="0" name=""/>
        <dsp:cNvSpPr/>
      </dsp:nvSpPr>
      <dsp:spPr>
        <a:xfrm>
          <a:off x="4429839" y="967564"/>
          <a:ext cx="1054149" cy="1265271"/>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Increased income resulting from decreased fuel expenditures, reduced health costs and increased productivity</a:t>
          </a:r>
        </a:p>
      </dsp:txBody>
      <dsp:txXfrm>
        <a:off x="4481298" y="1019023"/>
        <a:ext cx="951231" cy="1162353"/>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A88A0DBC738F4D9771E8E031815F58" ma:contentTypeVersion="0" ma:contentTypeDescription="Create a new document." ma:contentTypeScope="" ma:versionID="67b42e3fa9b348462f943c325d273590">
  <xsd:schema xmlns:xsd="http://www.w3.org/2001/XMLSchema" xmlns:xs="http://www.w3.org/2001/XMLSchema" xmlns:p="http://schemas.microsoft.com/office/2006/metadata/properties" xmlns:ns2="4cff6220-4764-4ea0-9b7b-80312a03ab8a" targetNamespace="http://schemas.microsoft.com/office/2006/metadata/properties" ma:root="true" ma:fieldsID="999223c7e5f606668e0552299d793a29" ns2:_="">
    <xsd:import namespace="4cff6220-4764-4ea0-9b7b-80312a03ab8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ff6220-4764-4ea0-9b7b-80312a03a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cff6220-4764-4ea0-9b7b-80312a03ab8a">U72SVVSJSJUQ-360-5</_dlc_DocId>
    <_dlc_DocIdUrl xmlns="4cff6220-4764-4ea0-9b7b-80312a03ab8a">
      <Url>http://intranet.mcc.gov/countries/eapla/Mongolia/_layouts/DocIdRedir.aspx?ID=U72SVVSJSJUQ-360-5</Url>
      <Description>U72SVVSJSJUQ-360-5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B4BEF-EF3F-452F-ACD4-E1B3B8BF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ff6220-4764-4ea0-9b7b-80312a03ab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38647-AF0A-4A04-BD0B-85A2C6C67B74}">
  <ds:schemaRefs>
    <ds:schemaRef ds:uri="http://schemas.microsoft.com/office/2006/metadata/properties"/>
    <ds:schemaRef ds:uri="http://schemas.microsoft.com/office/infopath/2007/PartnerControls"/>
    <ds:schemaRef ds:uri="4cff6220-4764-4ea0-9b7b-80312a03ab8a"/>
  </ds:schemaRefs>
</ds:datastoreItem>
</file>

<file path=customXml/itemProps3.xml><?xml version="1.0" encoding="utf-8"?>
<ds:datastoreItem xmlns:ds="http://schemas.openxmlformats.org/officeDocument/2006/customXml" ds:itemID="{1B6A0513-7616-438B-A333-388172FE459D}">
  <ds:schemaRefs>
    <ds:schemaRef ds:uri="http://schemas.microsoft.com/sharepoint/v3/contenttype/forms"/>
  </ds:schemaRefs>
</ds:datastoreItem>
</file>

<file path=customXml/itemProps4.xml><?xml version="1.0" encoding="utf-8"?>
<ds:datastoreItem xmlns:ds="http://schemas.openxmlformats.org/officeDocument/2006/customXml" ds:itemID="{E773CA0D-EE99-4365-968C-BBB0F911BD8F}">
  <ds:schemaRefs>
    <ds:schemaRef ds:uri="http://schemas.microsoft.com/sharepoint/events"/>
  </ds:schemaRefs>
</ds:datastoreItem>
</file>

<file path=customXml/itemProps5.xml><?xml version="1.0" encoding="utf-8"?>
<ds:datastoreItem xmlns:ds="http://schemas.openxmlformats.org/officeDocument/2006/customXml" ds:itemID="{18C7B0DF-57C7-42F9-ACB3-43A8D9B9A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3166</Words>
  <Characters>18052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MCC</Company>
  <LinksUpToDate>false</LinksUpToDate>
  <CharactersWithSpaces>21176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Kelsey, Kevin L (DPE/EE-ME/Intern)</dc:creator>
  <cp:lastModifiedBy>Paul Burgess</cp:lastModifiedBy>
  <cp:revision>4</cp:revision>
  <cp:lastPrinted>2014-06-25T16:52:00Z</cp:lastPrinted>
  <dcterms:created xsi:type="dcterms:W3CDTF">2015-02-02T21:38:00Z</dcterms:created>
  <dcterms:modified xsi:type="dcterms:W3CDTF">2015-02-03T20:58:00Z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0x010100C3A88A0DBC738F4D9771E8E031815F58</vt:lpwstr>
  </property>
  <property fmtid="{D5CDD505-2E9C-101B-9397-08002B2CF9AE}" pid="3" name="_dlc_DocIdItemGuid">
    <vt:lpwstr>ac073fc3-0299-4002-a11f-58e3b696c87e</vt:lpwstr>
  </property>
</Properties>
</file>